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7F9" w:rsidRPr="008517F9" w:rsidRDefault="008517F9" w:rsidP="008517F9">
      <w:pPr>
        <w:widowControl/>
        <w:spacing w:before="100" w:beforeAutospacing="1" w:after="100" w:afterAutospacing="1"/>
        <w:jc w:val="center"/>
        <w:outlineLvl w:val="0"/>
        <w:rPr>
          <w:rFonts w:ascii="宋体" w:eastAsia="宋体" w:hAnsi="宋体" w:cs="宋体"/>
          <w:b/>
          <w:bCs/>
          <w:color w:val="003776"/>
          <w:kern w:val="36"/>
          <w:sz w:val="48"/>
          <w:szCs w:val="48"/>
        </w:rPr>
      </w:pPr>
      <w:bookmarkStart w:id="0" w:name="_GoBack"/>
      <w:r w:rsidRPr="008517F9">
        <w:rPr>
          <w:rFonts w:ascii="宋体" w:eastAsia="宋体" w:hAnsi="宋体" w:cs="宋体"/>
          <w:b/>
          <w:bCs/>
          <w:color w:val="003776"/>
          <w:kern w:val="36"/>
          <w:sz w:val="48"/>
          <w:szCs w:val="48"/>
        </w:rPr>
        <w:t>人工智能学院关于2023年硕士研究生招生调剂办法的通知</w:t>
      </w:r>
    </w:p>
    <w:bookmarkEnd w:id="0"/>
    <w:p w:rsidR="008517F9" w:rsidRPr="008517F9" w:rsidRDefault="008517F9" w:rsidP="008517F9">
      <w:pPr>
        <w:widowControl/>
        <w:jc w:val="center"/>
        <w:rPr>
          <w:rFonts w:ascii="宋体" w:eastAsia="宋体" w:hAnsi="宋体" w:cs="宋体"/>
          <w:color w:val="888888"/>
          <w:kern w:val="0"/>
          <w:sz w:val="24"/>
          <w:szCs w:val="24"/>
        </w:rPr>
      </w:pPr>
      <w:r w:rsidRPr="008517F9">
        <w:rPr>
          <w:rFonts w:ascii="宋体" w:eastAsia="宋体" w:hAnsi="宋体" w:cs="宋体"/>
          <w:color w:val="888888"/>
          <w:kern w:val="0"/>
          <w:sz w:val="24"/>
          <w:szCs w:val="24"/>
        </w:rPr>
        <w:t>发布时间：2023-04-04 点击：479次</w:t>
      </w:r>
    </w:p>
    <w:p w:rsidR="008517F9" w:rsidRPr="008517F9" w:rsidRDefault="008517F9" w:rsidP="008517F9">
      <w:pPr>
        <w:widowControl/>
        <w:jc w:val="center"/>
        <w:rPr>
          <w:rFonts w:ascii="宋体" w:eastAsia="宋体" w:hAnsi="宋体" w:cs="宋体"/>
          <w:kern w:val="0"/>
          <w:sz w:val="2"/>
          <w:szCs w:val="2"/>
        </w:rPr>
      </w:pPr>
      <w:r w:rsidRPr="008517F9">
        <w:rPr>
          <w:rFonts w:ascii="宋体" w:eastAsia="宋体" w:hAnsi="宋体" w:cs="宋体"/>
          <w:kern w:val="0"/>
          <w:sz w:val="2"/>
          <w:szCs w:val="2"/>
        </w:rPr>
        <w:t> </w:t>
      </w:r>
    </w:p>
    <w:p w:rsidR="008517F9" w:rsidRPr="008517F9" w:rsidRDefault="008517F9" w:rsidP="008517F9">
      <w:pPr>
        <w:widowControl/>
        <w:spacing w:before="60" w:after="30" w:line="450" w:lineRule="atLeast"/>
        <w:jc w:val="center"/>
        <w:rPr>
          <w:rFonts w:ascii="宋体" w:eastAsia="宋体" w:hAnsi="宋体" w:cs="宋体"/>
          <w:color w:val="003776"/>
          <w:kern w:val="0"/>
          <w:sz w:val="2"/>
          <w:szCs w:val="2"/>
        </w:rPr>
      </w:pPr>
      <w:r w:rsidRPr="008517F9">
        <w:rPr>
          <w:rFonts w:ascii="宋体" w:eastAsia="宋体" w:hAnsi="宋体" w:cs="宋体"/>
          <w:color w:val="003776"/>
          <w:kern w:val="0"/>
          <w:sz w:val="2"/>
          <w:szCs w:val="2"/>
        </w:rPr>
        <w:t>分享</w:t>
      </w:r>
    </w:p>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kern w:val="0"/>
          <w:sz w:val="24"/>
          <w:szCs w:val="24"/>
        </w:rPr>
        <w:t> </w:t>
      </w:r>
    </w:p>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kern w:val="0"/>
          <w:sz w:val="24"/>
          <w:szCs w:val="24"/>
        </w:rPr>
        <w:t> </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根据《吉林大学2023年硕士研究生招生复试录取工作办法》的要求，结合我院实际情况，现制定人工智学院2023年硕士研究生招生调剂办法如下：</w:t>
      </w:r>
    </w:p>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b/>
          <w:bCs/>
          <w:color w:val="000000"/>
          <w:kern w:val="0"/>
          <w:sz w:val="32"/>
          <w:szCs w:val="32"/>
        </w:rPr>
        <w:t>一、接收调剂专业、人数及条件</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1、调剂专业：计算机科学与技术专业（081200）</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2、调剂人数：2人</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3、接收调剂条件：校内调剂，且调剂考生第一志愿报考专业为计算机科学与技术（081200）。</w:t>
      </w:r>
    </w:p>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b/>
          <w:bCs/>
          <w:color w:val="000000"/>
          <w:kern w:val="0"/>
          <w:sz w:val="32"/>
          <w:szCs w:val="32"/>
        </w:rPr>
        <w:t>二、调剂分数线</w:t>
      </w:r>
    </w:p>
    <w:tbl>
      <w:tblPr>
        <w:tblW w:w="5000" w:type="dxa"/>
        <w:jc w:val="center"/>
        <w:tblCellMar>
          <w:left w:w="0" w:type="dxa"/>
          <w:right w:w="0" w:type="dxa"/>
        </w:tblCellMar>
        <w:tblLook w:val="04A0" w:firstRow="1" w:lastRow="0" w:firstColumn="1" w:lastColumn="0" w:noHBand="0" w:noVBand="1"/>
      </w:tblPr>
      <w:tblGrid>
        <w:gridCol w:w="870"/>
        <w:gridCol w:w="900"/>
        <w:gridCol w:w="555"/>
        <w:gridCol w:w="540"/>
        <w:gridCol w:w="540"/>
        <w:gridCol w:w="860"/>
        <w:gridCol w:w="920"/>
      </w:tblGrid>
      <w:tr w:rsidR="008517F9" w:rsidRPr="008517F9" w:rsidTr="008517F9">
        <w:trPr>
          <w:trHeight w:val="280"/>
          <w:jc w:val="center"/>
        </w:trPr>
        <w:tc>
          <w:tcPr>
            <w:tcW w:w="870"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专业名称</w:t>
            </w:r>
          </w:p>
        </w:tc>
        <w:tc>
          <w:tcPr>
            <w:tcW w:w="750" w:type="dxa"/>
            <w:vMerge w:val="restart"/>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专业代码</w:t>
            </w:r>
          </w:p>
        </w:tc>
        <w:tc>
          <w:tcPr>
            <w:tcW w:w="3380" w:type="dxa"/>
            <w:gridSpan w:val="5"/>
            <w:tcBorders>
              <w:top w:val="single" w:sz="6" w:space="0" w:color="auto"/>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调剂分数线</w:t>
            </w:r>
          </w:p>
        </w:tc>
      </w:tr>
      <w:tr w:rsidR="008517F9" w:rsidRPr="008517F9" w:rsidTr="008517F9">
        <w:trPr>
          <w:trHeight w:val="30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8517F9" w:rsidRPr="008517F9" w:rsidRDefault="008517F9" w:rsidP="008517F9">
            <w:pPr>
              <w:widowControl/>
              <w:jc w:val="left"/>
              <w:rPr>
                <w:rFonts w:ascii="宋体" w:eastAsia="宋体" w:hAnsi="宋体" w:cs="宋体"/>
                <w:kern w:val="0"/>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8517F9" w:rsidRPr="008517F9" w:rsidRDefault="008517F9" w:rsidP="008517F9">
            <w:pPr>
              <w:widowControl/>
              <w:jc w:val="left"/>
              <w:rPr>
                <w:rFonts w:ascii="宋体" w:eastAsia="宋体" w:hAnsi="宋体" w:cs="宋体"/>
                <w:kern w:val="0"/>
                <w:sz w:val="24"/>
                <w:szCs w:val="24"/>
              </w:rPr>
            </w:pPr>
          </w:p>
        </w:tc>
        <w:tc>
          <w:tcPr>
            <w:tcW w:w="51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总分</w:t>
            </w:r>
          </w:p>
        </w:tc>
        <w:tc>
          <w:tcPr>
            <w:tcW w:w="54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政治</w:t>
            </w:r>
          </w:p>
        </w:tc>
        <w:tc>
          <w:tcPr>
            <w:tcW w:w="54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外语</w:t>
            </w:r>
          </w:p>
        </w:tc>
        <w:tc>
          <w:tcPr>
            <w:tcW w:w="86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专业课1</w:t>
            </w:r>
          </w:p>
        </w:tc>
        <w:tc>
          <w:tcPr>
            <w:tcW w:w="92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专业课2</w:t>
            </w:r>
          </w:p>
        </w:tc>
      </w:tr>
      <w:tr w:rsidR="008517F9" w:rsidRPr="008517F9" w:rsidTr="008517F9">
        <w:trPr>
          <w:trHeight w:val="520"/>
          <w:jc w:val="center"/>
        </w:trPr>
        <w:tc>
          <w:tcPr>
            <w:tcW w:w="8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517F9" w:rsidRPr="008517F9" w:rsidRDefault="008517F9" w:rsidP="008517F9">
            <w:pPr>
              <w:widowControl/>
              <w:jc w:val="left"/>
              <w:rPr>
                <w:rFonts w:ascii="宋体" w:eastAsia="宋体" w:hAnsi="宋体" w:cs="宋体"/>
                <w:kern w:val="0"/>
                <w:sz w:val="24"/>
                <w:szCs w:val="24"/>
              </w:rPr>
            </w:pPr>
            <w:r w:rsidRPr="008517F9">
              <w:rPr>
                <w:rFonts w:ascii="宋体" w:eastAsia="宋体" w:hAnsi="宋体" w:cs="宋体" w:hint="eastAsia"/>
                <w:color w:val="000000"/>
                <w:kern w:val="0"/>
                <w:sz w:val="23"/>
                <w:szCs w:val="23"/>
              </w:rPr>
              <w:t>计算机科学与技术</w:t>
            </w:r>
          </w:p>
        </w:tc>
        <w:tc>
          <w:tcPr>
            <w:tcW w:w="75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081200</w:t>
            </w:r>
          </w:p>
        </w:tc>
        <w:tc>
          <w:tcPr>
            <w:tcW w:w="51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310</w:t>
            </w:r>
          </w:p>
        </w:tc>
        <w:tc>
          <w:tcPr>
            <w:tcW w:w="54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45</w:t>
            </w:r>
          </w:p>
        </w:tc>
        <w:tc>
          <w:tcPr>
            <w:tcW w:w="54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45</w:t>
            </w:r>
          </w:p>
        </w:tc>
        <w:tc>
          <w:tcPr>
            <w:tcW w:w="86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68</w:t>
            </w:r>
          </w:p>
        </w:tc>
        <w:tc>
          <w:tcPr>
            <w:tcW w:w="920" w:type="dxa"/>
            <w:tcBorders>
              <w:top w:val="nil"/>
              <w:left w:val="nil"/>
              <w:bottom w:val="single" w:sz="6" w:space="0" w:color="auto"/>
              <w:right w:val="single" w:sz="6" w:space="0" w:color="auto"/>
            </w:tcBorders>
            <w:noWrap/>
            <w:tcMar>
              <w:top w:w="0" w:type="dxa"/>
              <w:left w:w="105" w:type="dxa"/>
              <w:bottom w:w="0" w:type="dxa"/>
              <w:right w:w="105" w:type="dxa"/>
            </w:tcMar>
            <w:vAlign w:val="center"/>
            <w:hideMark/>
          </w:tcPr>
          <w:p w:rsidR="008517F9" w:rsidRPr="008517F9" w:rsidRDefault="008517F9" w:rsidP="008517F9">
            <w:pPr>
              <w:widowControl/>
              <w:jc w:val="center"/>
              <w:rPr>
                <w:rFonts w:ascii="宋体" w:eastAsia="宋体" w:hAnsi="宋体" w:cs="宋体"/>
                <w:kern w:val="0"/>
                <w:sz w:val="24"/>
                <w:szCs w:val="24"/>
              </w:rPr>
            </w:pPr>
            <w:r w:rsidRPr="008517F9">
              <w:rPr>
                <w:rFonts w:ascii="宋体" w:eastAsia="宋体" w:hAnsi="宋体" w:cs="宋体" w:hint="eastAsia"/>
                <w:color w:val="000000"/>
                <w:kern w:val="0"/>
                <w:sz w:val="23"/>
                <w:szCs w:val="23"/>
              </w:rPr>
              <w:t>90</w:t>
            </w:r>
          </w:p>
        </w:tc>
      </w:tr>
    </w:tbl>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b/>
          <w:bCs/>
          <w:color w:val="000000"/>
          <w:kern w:val="0"/>
          <w:sz w:val="32"/>
          <w:szCs w:val="32"/>
        </w:rPr>
        <w:t>三、调剂录取原则</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按总成绩由高到低择优录取，若有放弃调剂考生，则向后顺延，直至专业名额招满为止。</w:t>
      </w:r>
    </w:p>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b/>
          <w:bCs/>
          <w:color w:val="000000"/>
          <w:kern w:val="0"/>
          <w:sz w:val="32"/>
          <w:szCs w:val="32"/>
        </w:rPr>
        <w:t>四、调剂流程</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lastRenderedPageBreak/>
        <w:t>1、调剂考生填报《吉林大学硕士研究生招生调剂申请表》（见附件），签字后拍照或扫描发送到sai@jlu.edu.cn邮箱，同时发送附件的电子版。</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提交申请表截止时间为：2023年4月10日上午9：00点。</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2、所有调剂考生必须通过教育部指定的“全国硕士生招生调剂服务系统”（网址http://yz.chsi.com.cn）进行网上调剂，否则无效。</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开放调剂</w:t>
      </w:r>
      <w:proofErr w:type="gramStart"/>
      <w:r w:rsidRPr="008517F9">
        <w:rPr>
          <w:rFonts w:ascii="仿宋_gb2312" w:eastAsia="仿宋_gb2312" w:hAnsi="宋体" w:cs="宋体" w:hint="eastAsia"/>
          <w:color w:val="000000"/>
          <w:kern w:val="0"/>
          <w:sz w:val="32"/>
          <w:szCs w:val="32"/>
        </w:rPr>
        <w:t>系统系统</w:t>
      </w:r>
      <w:proofErr w:type="gramEnd"/>
      <w:r w:rsidRPr="008517F9">
        <w:rPr>
          <w:rFonts w:ascii="仿宋_gb2312" w:eastAsia="仿宋_gb2312" w:hAnsi="宋体" w:cs="宋体" w:hint="eastAsia"/>
          <w:color w:val="000000"/>
          <w:kern w:val="0"/>
          <w:sz w:val="32"/>
          <w:szCs w:val="32"/>
        </w:rPr>
        <w:t>开放时间为2023年4月6日9:00点--4月6日21:00点，考生调剂志愿锁定时间不超过36小时。锁定时间到达后，如学院未明确受理意见，锁定解除，考生可继续填报其他志愿。</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3、招生办公室向考生发送复试通知并请考生确认。</w:t>
      </w:r>
    </w:p>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b/>
          <w:bCs/>
          <w:color w:val="000000"/>
          <w:kern w:val="0"/>
          <w:sz w:val="32"/>
          <w:szCs w:val="32"/>
        </w:rPr>
        <w:t>五、其他</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1、对申请同一专业的调剂考生，学院将按初试成绩择优遴选进入复试的名单，考生提交调剂志愿的时间先后顺序等非学业水平标准不作为遴选依据。</w:t>
      </w:r>
    </w:p>
    <w:p w:rsidR="008517F9" w:rsidRPr="008517F9" w:rsidRDefault="008517F9" w:rsidP="008517F9">
      <w:pPr>
        <w:widowControl/>
        <w:ind w:firstLine="6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2、复试时间另行通知。</w:t>
      </w:r>
    </w:p>
    <w:p w:rsidR="008517F9" w:rsidRPr="008517F9" w:rsidRDefault="008517F9" w:rsidP="008517F9">
      <w:pPr>
        <w:widowControl/>
        <w:ind w:firstLine="480"/>
        <w:jc w:val="left"/>
        <w:rPr>
          <w:rFonts w:ascii="宋体" w:eastAsia="宋体" w:hAnsi="宋体" w:cs="宋体"/>
          <w:color w:val="000000"/>
          <w:kern w:val="0"/>
          <w:sz w:val="24"/>
          <w:szCs w:val="24"/>
        </w:rPr>
      </w:pPr>
    </w:p>
    <w:p w:rsidR="008517F9" w:rsidRPr="008517F9" w:rsidRDefault="008517F9" w:rsidP="008517F9">
      <w:pPr>
        <w:widowControl/>
        <w:ind w:firstLine="480"/>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附件： 吉林大学硕士研究生招生调剂申请表</w:t>
      </w:r>
    </w:p>
    <w:p w:rsidR="008517F9" w:rsidRPr="008517F9" w:rsidRDefault="008517F9" w:rsidP="008517F9">
      <w:pPr>
        <w:widowControl/>
        <w:ind w:firstLine="480"/>
        <w:jc w:val="left"/>
        <w:rPr>
          <w:rFonts w:ascii="宋体" w:eastAsia="宋体" w:hAnsi="宋体" w:cs="宋体"/>
          <w:color w:val="000000"/>
          <w:kern w:val="0"/>
          <w:sz w:val="24"/>
          <w:szCs w:val="24"/>
        </w:rPr>
      </w:pPr>
    </w:p>
    <w:p w:rsidR="008517F9" w:rsidRPr="008517F9" w:rsidRDefault="008517F9" w:rsidP="008517F9">
      <w:pPr>
        <w:widowControl/>
        <w:ind w:firstLine="5760"/>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lastRenderedPageBreak/>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人工智能学院</w:t>
      </w:r>
    </w:p>
    <w:p w:rsidR="008517F9" w:rsidRPr="008517F9" w:rsidRDefault="008517F9" w:rsidP="008517F9">
      <w:pPr>
        <w:widowControl/>
        <w:ind w:firstLine="5445"/>
        <w:jc w:val="left"/>
        <w:rPr>
          <w:rFonts w:ascii="宋体" w:eastAsia="宋体" w:hAnsi="宋体" w:cs="宋体"/>
          <w:color w:val="000000"/>
          <w:kern w:val="0"/>
          <w:sz w:val="24"/>
          <w:szCs w:val="24"/>
        </w:rPr>
      </w:pP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w:t>
      </w:r>
      <w:r w:rsidRPr="008517F9">
        <w:rPr>
          <w:rFonts w:ascii="仿宋_gb2312" w:eastAsia="仿宋_gb2312" w:hAnsi="宋体" w:cs="宋体" w:hint="eastAsia"/>
          <w:color w:val="000000"/>
          <w:kern w:val="0"/>
          <w:sz w:val="32"/>
          <w:szCs w:val="32"/>
        </w:rPr>
        <w:t> </w:t>
      </w:r>
      <w:r w:rsidRPr="008517F9">
        <w:rPr>
          <w:rFonts w:ascii="仿宋_gb2312" w:eastAsia="仿宋_gb2312" w:hAnsi="宋体" w:cs="宋体" w:hint="eastAsia"/>
          <w:color w:val="000000"/>
          <w:kern w:val="0"/>
          <w:sz w:val="32"/>
          <w:szCs w:val="32"/>
        </w:rPr>
        <w:t xml:space="preserve"> 2023年4月4日</w:t>
      </w:r>
    </w:p>
    <w:p w:rsidR="00325D24" w:rsidRDefault="00325D24"/>
    <w:sectPr w:rsidR="00325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EEA" w:rsidRDefault="002B4EEA" w:rsidP="008517F9">
      <w:r>
        <w:separator/>
      </w:r>
    </w:p>
  </w:endnote>
  <w:endnote w:type="continuationSeparator" w:id="0">
    <w:p w:rsidR="002B4EEA" w:rsidRDefault="002B4EEA" w:rsidP="0085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EEA" w:rsidRDefault="002B4EEA" w:rsidP="008517F9">
      <w:r>
        <w:separator/>
      </w:r>
    </w:p>
  </w:footnote>
  <w:footnote w:type="continuationSeparator" w:id="0">
    <w:p w:rsidR="002B4EEA" w:rsidRDefault="002B4EEA" w:rsidP="00851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307"/>
    <w:rsid w:val="002B4EEA"/>
    <w:rsid w:val="00325D24"/>
    <w:rsid w:val="008517F9"/>
    <w:rsid w:val="00D0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517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7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17F9"/>
    <w:rPr>
      <w:sz w:val="18"/>
      <w:szCs w:val="18"/>
    </w:rPr>
  </w:style>
  <w:style w:type="paragraph" w:styleId="a4">
    <w:name w:val="footer"/>
    <w:basedOn w:val="a"/>
    <w:link w:val="Char0"/>
    <w:uiPriority w:val="99"/>
    <w:unhideWhenUsed/>
    <w:rsid w:val="008517F9"/>
    <w:pPr>
      <w:tabs>
        <w:tab w:val="center" w:pos="4153"/>
        <w:tab w:val="right" w:pos="8306"/>
      </w:tabs>
      <w:snapToGrid w:val="0"/>
      <w:jc w:val="left"/>
    </w:pPr>
    <w:rPr>
      <w:sz w:val="18"/>
      <w:szCs w:val="18"/>
    </w:rPr>
  </w:style>
  <w:style w:type="character" w:customStyle="1" w:styleId="Char0">
    <w:name w:val="页脚 Char"/>
    <w:basedOn w:val="a0"/>
    <w:link w:val="a4"/>
    <w:uiPriority w:val="99"/>
    <w:rsid w:val="008517F9"/>
    <w:rPr>
      <w:sz w:val="18"/>
      <w:szCs w:val="18"/>
    </w:rPr>
  </w:style>
  <w:style w:type="character" w:customStyle="1" w:styleId="1Char">
    <w:name w:val="标题 1 Char"/>
    <w:basedOn w:val="a0"/>
    <w:link w:val="1"/>
    <w:uiPriority w:val="9"/>
    <w:rsid w:val="008517F9"/>
    <w:rPr>
      <w:rFonts w:ascii="宋体" w:eastAsia="宋体" w:hAnsi="宋体" w:cs="宋体"/>
      <w:b/>
      <w:bCs/>
      <w:kern w:val="36"/>
      <w:sz w:val="48"/>
      <w:szCs w:val="48"/>
    </w:rPr>
  </w:style>
  <w:style w:type="paragraph" w:styleId="a5">
    <w:name w:val="Normal (Web)"/>
    <w:basedOn w:val="a"/>
    <w:uiPriority w:val="99"/>
    <w:unhideWhenUsed/>
    <w:rsid w:val="008517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17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517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7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17F9"/>
    <w:rPr>
      <w:sz w:val="18"/>
      <w:szCs w:val="18"/>
    </w:rPr>
  </w:style>
  <w:style w:type="paragraph" w:styleId="a4">
    <w:name w:val="footer"/>
    <w:basedOn w:val="a"/>
    <w:link w:val="Char0"/>
    <w:uiPriority w:val="99"/>
    <w:unhideWhenUsed/>
    <w:rsid w:val="008517F9"/>
    <w:pPr>
      <w:tabs>
        <w:tab w:val="center" w:pos="4153"/>
        <w:tab w:val="right" w:pos="8306"/>
      </w:tabs>
      <w:snapToGrid w:val="0"/>
      <w:jc w:val="left"/>
    </w:pPr>
    <w:rPr>
      <w:sz w:val="18"/>
      <w:szCs w:val="18"/>
    </w:rPr>
  </w:style>
  <w:style w:type="character" w:customStyle="1" w:styleId="Char0">
    <w:name w:val="页脚 Char"/>
    <w:basedOn w:val="a0"/>
    <w:link w:val="a4"/>
    <w:uiPriority w:val="99"/>
    <w:rsid w:val="008517F9"/>
    <w:rPr>
      <w:sz w:val="18"/>
      <w:szCs w:val="18"/>
    </w:rPr>
  </w:style>
  <w:style w:type="character" w:customStyle="1" w:styleId="1Char">
    <w:name w:val="标题 1 Char"/>
    <w:basedOn w:val="a0"/>
    <w:link w:val="1"/>
    <w:uiPriority w:val="9"/>
    <w:rsid w:val="008517F9"/>
    <w:rPr>
      <w:rFonts w:ascii="宋体" w:eastAsia="宋体" w:hAnsi="宋体" w:cs="宋体"/>
      <w:b/>
      <w:bCs/>
      <w:kern w:val="36"/>
      <w:sz w:val="48"/>
      <w:szCs w:val="48"/>
    </w:rPr>
  </w:style>
  <w:style w:type="paragraph" w:styleId="a5">
    <w:name w:val="Normal (Web)"/>
    <w:basedOn w:val="a"/>
    <w:uiPriority w:val="99"/>
    <w:unhideWhenUsed/>
    <w:rsid w:val="008517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517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288262">
      <w:bodyDiv w:val="1"/>
      <w:marLeft w:val="0"/>
      <w:marRight w:val="0"/>
      <w:marTop w:val="0"/>
      <w:marBottom w:val="0"/>
      <w:divBdr>
        <w:top w:val="none" w:sz="0" w:space="0" w:color="auto"/>
        <w:left w:val="none" w:sz="0" w:space="0" w:color="auto"/>
        <w:bottom w:val="none" w:sz="0" w:space="0" w:color="auto"/>
        <w:right w:val="none" w:sz="0" w:space="0" w:color="auto"/>
      </w:divBdr>
      <w:divsChild>
        <w:div w:id="73430019">
          <w:marLeft w:val="0"/>
          <w:marRight w:val="0"/>
          <w:marTop w:val="0"/>
          <w:marBottom w:val="0"/>
          <w:divBdr>
            <w:top w:val="single" w:sz="6" w:space="0" w:color="DDDDDD"/>
            <w:left w:val="single" w:sz="6" w:space="0" w:color="DDDDDD"/>
            <w:bottom w:val="single" w:sz="6" w:space="0" w:color="DDDDDD"/>
            <w:right w:val="single" w:sz="6" w:space="0" w:color="DDDDDD"/>
          </w:divBdr>
          <w:divsChild>
            <w:div w:id="17241860">
              <w:marLeft w:val="0"/>
              <w:marRight w:val="0"/>
              <w:marTop w:val="0"/>
              <w:marBottom w:val="0"/>
              <w:divBdr>
                <w:top w:val="none" w:sz="0" w:space="0" w:color="auto"/>
                <w:left w:val="none" w:sz="0" w:space="0" w:color="auto"/>
                <w:bottom w:val="none" w:sz="0" w:space="0" w:color="auto"/>
                <w:right w:val="none" w:sz="0" w:space="0" w:color="auto"/>
              </w:divBdr>
            </w:div>
            <w:div w:id="1914969971">
              <w:marLeft w:val="0"/>
              <w:marRight w:val="0"/>
              <w:marTop w:val="0"/>
              <w:marBottom w:val="0"/>
              <w:divBdr>
                <w:top w:val="none" w:sz="0" w:space="0" w:color="auto"/>
                <w:left w:val="none" w:sz="0" w:space="0" w:color="auto"/>
                <w:bottom w:val="none" w:sz="0" w:space="0" w:color="auto"/>
                <w:right w:val="none" w:sz="0" w:space="0" w:color="auto"/>
              </w:divBdr>
            </w:div>
          </w:divsChild>
        </w:div>
        <w:div w:id="1960330774">
          <w:marLeft w:val="0"/>
          <w:marRight w:val="0"/>
          <w:marTop w:val="100"/>
          <w:marBottom w:val="100"/>
          <w:divBdr>
            <w:top w:val="none" w:sz="0" w:space="0" w:color="auto"/>
            <w:left w:val="none" w:sz="0" w:space="0" w:color="auto"/>
            <w:bottom w:val="none" w:sz="0" w:space="0" w:color="auto"/>
            <w:right w:val="none" w:sz="0" w:space="0" w:color="auto"/>
          </w:divBdr>
          <w:divsChild>
            <w:div w:id="1553810213">
              <w:marLeft w:val="0"/>
              <w:marRight w:val="0"/>
              <w:marTop w:val="0"/>
              <w:marBottom w:val="0"/>
              <w:divBdr>
                <w:top w:val="none" w:sz="0" w:space="0" w:color="auto"/>
                <w:left w:val="none" w:sz="0" w:space="0" w:color="auto"/>
                <w:bottom w:val="none" w:sz="0" w:space="0" w:color="auto"/>
                <w:right w:val="none" w:sz="0" w:space="0" w:color="auto"/>
              </w:divBdr>
              <w:divsChild>
                <w:div w:id="14152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2023-04-06T13:02:00Z</dcterms:created>
  <dcterms:modified xsi:type="dcterms:W3CDTF">2023-04-06T13:02:00Z</dcterms:modified>
</cp:coreProperties>
</file>