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bCs/>
          <w:color w:val="000000"/>
          <w:sz w:val="20"/>
          <w:szCs w:val="20"/>
        </w:rPr>
      </w:pPr>
      <w:bookmarkStart w:id="0" w:name="_GoBack"/>
      <w:r>
        <w:rPr>
          <w:b/>
          <w:bCs/>
          <w:color w:val="000000"/>
          <w:sz w:val="20"/>
          <w:szCs w:val="20"/>
          <w:bdr w:val="none" w:color="auto" w:sz="0" w:space="0"/>
        </w:rPr>
        <w:t>吉林大学人民政协理论研究中心2023年公共管理（MPA）硕士招生调剂办法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9F9F9"/>
        <w:spacing w:before="200" w:beforeAutospacing="0" w:after="0" w:afterAutospacing="0" w:line="400" w:lineRule="atLeast"/>
        <w:ind w:left="0" w:right="0"/>
        <w:jc w:val="center"/>
        <w:rPr>
          <w:color w:val="666666"/>
          <w:sz w:val="14"/>
          <w:szCs w:val="14"/>
        </w:rPr>
      </w:pPr>
      <w:r>
        <w:rPr>
          <w:rFonts w:ascii="宋体" w:hAnsi="宋体" w:eastAsia="宋体" w:cs="宋体"/>
          <w:color w:val="666666"/>
          <w:kern w:val="0"/>
          <w:sz w:val="14"/>
          <w:szCs w:val="14"/>
          <w:bdr w:val="none" w:color="auto" w:sz="0" w:space="0"/>
          <w:shd w:val="clear" w:fill="F9F9F9"/>
          <w:lang w:val="en-US" w:eastAsia="zh-CN" w:bidi="ar"/>
        </w:rPr>
        <w:t>发布时间：2023-04-09    作者：    点击量：433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ascii="仿宋" w:hAnsi="仿宋" w:eastAsia="仿宋" w:cs="仿宋"/>
          <w:color w:val="000000"/>
          <w:sz w:val="19"/>
          <w:szCs w:val="19"/>
          <w:bdr w:val="none" w:color="auto" w:sz="0" w:space="0"/>
        </w:rPr>
        <w:t>根据《</w:t>
      </w:r>
      <w:r>
        <w:rPr>
          <w:rFonts w:hint="eastAsia" w:ascii="仿宋" w:hAnsi="仿宋" w:eastAsia="仿宋" w:cs="仿宋"/>
          <w:color w:val="000000"/>
          <w:sz w:val="19"/>
          <w:szCs w:val="19"/>
          <w:bdr w:val="none" w:color="auto" w:sz="0" w:space="0"/>
          <w:lang w:val="en-US"/>
        </w:rPr>
        <w:t>2023</w:t>
      </w:r>
      <w:r>
        <w:rPr>
          <w:rFonts w:hint="eastAsia" w:ascii="仿宋" w:hAnsi="仿宋" w:eastAsia="仿宋" w:cs="仿宋"/>
          <w:color w:val="000000"/>
          <w:sz w:val="19"/>
          <w:szCs w:val="19"/>
          <w:bdr w:val="none" w:color="auto" w:sz="0" w:space="0"/>
        </w:rPr>
        <w:t>年全国硕士研究生招生工作管理规定》《吉林大学</w:t>
      </w:r>
      <w:r>
        <w:rPr>
          <w:rFonts w:hint="eastAsia" w:ascii="仿宋" w:hAnsi="仿宋" w:eastAsia="仿宋" w:cs="仿宋"/>
          <w:color w:val="000000"/>
          <w:sz w:val="19"/>
          <w:szCs w:val="19"/>
          <w:bdr w:val="none" w:color="auto" w:sz="0" w:space="0"/>
          <w:lang w:val="en-US"/>
        </w:rPr>
        <w:t>2023</w:t>
      </w:r>
      <w:r>
        <w:rPr>
          <w:rFonts w:hint="eastAsia" w:ascii="仿宋" w:hAnsi="仿宋" w:eastAsia="仿宋" w:cs="仿宋"/>
          <w:color w:val="000000"/>
          <w:sz w:val="19"/>
          <w:szCs w:val="19"/>
          <w:bdr w:val="none" w:color="auto" w:sz="0" w:space="0"/>
        </w:rPr>
        <w:t>年硕士研究生招生复试录取工作办法》《吉林大学</w:t>
      </w:r>
      <w:r>
        <w:rPr>
          <w:rFonts w:hint="eastAsia" w:ascii="仿宋" w:hAnsi="仿宋" w:eastAsia="仿宋" w:cs="仿宋"/>
          <w:color w:val="000000"/>
          <w:sz w:val="19"/>
          <w:szCs w:val="19"/>
          <w:bdr w:val="none" w:color="auto" w:sz="0" w:space="0"/>
          <w:lang w:val="en-US"/>
        </w:rPr>
        <w:t>2023</w:t>
      </w:r>
      <w:r>
        <w:rPr>
          <w:rFonts w:hint="eastAsia" w:ascii="仿宋" w:hAnsi="仿宋" w:eastAsia="仿宋" w:cs="仿宋"/>
          <w:color w:val="000000"/>
          <w:sz w:val="19"/>
          <w:szCs w:val="19"/>
          <w:bdr w:val="none" w:color="auto" w:sz="0" w:space="0"/>
        </w:rPr>
        <w:t>年硕士研究生招生调剂办法》等文件精神，现制定吉林大学人民政协理论研究中心</w:t>
      </w:r>
      <w:r>
        <w:rPr>
          <w:rFonts w:hint="eastAsia" w:ascii="仿宋" w:hAnsi="仿宋" w:eastAsia="仿宋" w:cs="仿宋"/>
          <w:color w:val="000000"/>
          <w:sz w:val="19"/>
          <w:szCs w:val="19"/>
          <w:bdr w:val="none" w:color="auto" w:sz="0" w:space="0"/>
          <w:lang w:val="en-US"/>
        </w:rPr>
        <w:t>2023</w:t>
      </w:r>
      <w:r>
        <w:rPr>
          <w:rFonts w:hint="eastAsia" w:ascii="仿宋" w:hAnsi="仿宋" w:eastAsia="仿宋" w:cs="仿宋"/>
          <w:color w:val="000000"/>
          <w:sz w:val="19"/>
          <w:szCs w:val="19"/>
          <w:bdr w:val="none" w:color="auto" w:sz="0" w:space="0"/>
        </w:rPr>
        <w:t>年公共管理（</w:t>
      </w:r>
      <w:r>
        <w:rPr>
          <w:rFonts w:hint="eastAsia" w:ascii="仿宋" w:hAnsi="仿宋" w:eastAsia="仿宋" w:cs="仿宋"/>
          <w:color w:val="000000"/>
          <w:sz w:val="19"/>
          <w:szCs w:val="19"/>
          <w:bdr w:val="none" w:color="auto" w:sz="0" w:space="0"/>
          <w:lang w:val="en-US"/>
        </w:rPr>
        <w:t>MPA</w:t>
      </w:r>
      <w:r>
        <w:rPr>
          <w:rFonts w:hint="eastAsia" w:ascii="仿宋" w:hAnsi="仿宋" w:eastAsia="仿宋" w:cs="仿宋"/>
          <w:color w:val="000000"/>
          <w:sz w:val="19"/>
          <w:szCs w:val="19"/>
          <w:bdr w:val="none" w:color="auto" w:sz="0" w:space="0"/>
        </w:rPr>
        <w:t>）硕士招生调剂办法如下：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一  调剂专业及人数</w:t>
      </w:r>
    </w:p>
    <w:tbl>
      <w:tblPr>
        <w:tblW w:w="54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00"/>
        <w:gridCol w:w="2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34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专业</w:t>
            </w:r>
          </w:p>
        </w:tc>
        <w:tc>
          <w:tcPr>
            <w:tcW w:w="208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调剂人数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1" w:hRule="atLeast"/>
        </w:trPr>
        <w:tc>
          <w:tcPr>
            <w:tcW w:w="3400" w:type="dxa"/>
            <w:tcBorders>
              <w:top w:val="nil"/>
              <w:left w:val="single" w:color="auto" w:sz="4" w:space="0"/>
              <w:bottom w:val="single" w:color="auto" w:sz="4" w:space="0"/>
              <w:right w:val="single" w:color="auto" w:sz="4" w:space="0"/>
            </w:tcBorders>
            <w:shd w:val="clear"/>
            <w:noWrap/>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(125200)</w:t>
            </w:r>
            <w:r>
              <w:rPr>
                <w:rFonts w:hint="eastAsia" w:ascii="仿宋" w:hAnsi="仿宋" w:eastAsia="仿宋" w:cs="仿宋"/>
                <w:color w:val="000000"/>
                <w:sz w:val="19"/>
                <w:szCs w:val="19"/>
                <w:bdr w:val="none" w:color="auto" w:sz="0" w:space="0"/>
              </w:rPr>
              <w:t>公共管理</w:t>
            </w:r>
          </w:p>
        </w:tc>
        <w:tc>
          <w:tcPr>
            <w:tcW w:w="2080" w:type="dxa"/>
            <w:tcBorders>
              <w:top w:val="nil"/>
              <w:left w:val="nil"/>
              <w:bottom w:val="single" w:color="auto" w:sz="4" w:space="0"/>
              <w:right w:val="single" w:color="auto" w:sz="4" w:space="0"/>
            </w:tcBorders>
            <w:shd w:val="clear"/>
            <w:noWrap/>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二 调剂基本条件和原则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生源不足的专业，原则上在校内合格生源中进行调剂录取。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（一）基本条件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1.</w:t>
      </w:r>
      <w:r>
        <w:rPr>
          <w:rFonts w:hint="eastAsia" w:ascii="仿宋" w:hAnsi="仿宋" w:eastAsia="仿宋" w:cs="仿宋"/>
          <w:color w:val="000000"/>
          <w:sz w:val="19"/>
          <w:szCs w:val="19"/>
          <w:bdr w:val="none" w:color="auto" w:sz="0" w:space="0"/>
        </w:rPr>
        <w:t>调剂考生必须符合学校招生章程及中心招生专业目录中规定的报考条件。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2.</w:t>
      </w:r>
      <w:r>
        <w:rPr>
          <w:rFonts w:hint="eastAsia" w:ascii="仿宋" w:hAnsi="仿宋" w:eastAsia="仿宋" w:cs="仿宋"/>
          <w:color w:val="000000"/>
          <w:sz w:val="19"/>
          <w:szCs w:val="19"/>
          <w:bdr w:val="none" w:color="auto" w:sz="0" w:space="0"/>
        </w:rPr>
        <w:t>调剂考生必须符合中心公共管理（</w:t>
      </w:r>
      <w:r>
        <w:rPr>
          <w:rFonts w:hint="eastAsia" w:ascii="仿宋" w:hAnsi="仿宋" w:eastAsia="仿宋" w:cs="仿宋"/>
          <w:color w:val="000000"/>
          <w:sz w:val="19"/>
          <w:szCs w:val="19"/>
          <w:bdr w:val="none" w:color="auto" w:sz="0" w:space="0"/>
          <w:lang w:val="en-US"/>
        </w:rPr>
        <w:t>MPA</w:t>
      </w:r>
      <w:r>
        <w:rPr>
          <w:rFonts w:hint="eastAsia" w:ascii="仿宋" w:hAnsi="仿宋" w:eastAsia="仿宋" w:cs="仿宋"/>
          <w:color w:val="000000"/>
          <w:sz w:val="19"/>
          <w:szCs w:val="19"/>
          <w:bdr w:val="none" w:color="auto" w:sz="0" w:space="0"/>
        </w:rPr>
        <w:t>）硕士复试的成绩要求：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30"/>
        <w:gridCol w:w="1040"/>
        <w:gridCol w:w="1230"/>
        <w:gridCol w:w="710"/>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14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专业代码</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专业名称</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管理类联考综合能力</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外语</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1" w:hRule="atLeast"/>
        </w:trPr>
        <w:tc>
          <w:tcPr>
            <w:tcW w:w="14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lang w:val="en-US"/>
              </w:rPr>
              <w:t>125200</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rPr>
              <w:t>公共管理</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lang w:val="en-US"/>
              </w:rPr>
              <w:t>88</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lang w:val="en-US"/>
              </w:rPr>
              <w:t>44</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80"/>
              <w:jc w:val="center"/>
              <w:rPr>
                <w:color w:val="000000"/>
                <w:sz w:val="16"/>
                <w:szCs w:val="16"/>
              </w:rPr>
            </w:pPr>
            <w:r>
              <w:rPr>
                <w:rFonts w:hint="eastAsia" w:ascii="仿宋" w:hAnsi="仿宋" w:eastAsia="仿宋" w:cs="仿宋"/>
                <w:color w:val="000000"/>
                <w:sz w:val="19"/>
                <w:szCs w:val="19"/>
                <w:bdr w:val="none" w:color="auto" w:sz="0" w:space="0"/>
                <w:lang w:val="en-US"/>
              </w:rPr>
              <w:t>175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3.</w:t>
      </w:r>
      <w:r>
        <w:rPr>
          <w:rFonts w:hint="eastAsia" w:ascii="仿宋" w:hAnsi="仿宋" w:eastAsia="仿宋" w:cs="仿宋"/>
          <w:color w:val="000000"/>
          <w:sz w:val="19"/>
          <w:szCs w:val="19"/>
          <w:bdr w:val="none" w:color="auto" w:sz="0" w:space="0"/>
        </w:rPr>
        <w:t>调剂考生的调入专业与第一志愿报考专业相同或相近，应在同一学科门类范围内</w:t>
      </w:r>
      <w:r>
        <w:rPr>
          <w:rFonts w:hint="eastAsia" w:ascii="仿宋" w:hAnsi="仿宋" w:eastAsia="仿宋" w:cs="仿宋"/>
          <w:color w:val="000000"/>
          <w:sz w:val="19"/>
          <w:szCs w:val="19"/>
          <w:bdr w:val="none" w:color="auto" w:sz="0" w:space="0"/>
          <w:lang w:val="en-US"/>
        </w:rPr>
        <w:t>(</w:t>
      </w:r>
      <w:r>
        <w:rPr>
          <w:rFonts w:hint="eastAsia" w:ascii="仿宋" w:hAnsi="仿宋" w:eastAsia="仿宋" w:cs="仿宋"/>
          <w:color w:val="000000"/>
          <w:sz w:val="19"/>
          <w:szCs w:val="19"/>
          <w:bdr w:val="none" w:color="auto" w:sz="0" w:space="0"/>
        </w:rPr>
        <w:t>可授不同学科门类学位的专业可跨门类在对应专业所属一级学科范围内进行调剂</w:t>
      </w:r>
      <w:r>
        <w:rPr>
          <w:rFonts w:hint="eastAsia" w:ascii="仿宋" w:hAnsi="仿宋" w:eastAsia="仿宋" w:cs="仿宋"/>
          <w:color w:val="000000"/>
          <w:sz w:val="19"/>
          <w:szCs w:val="19"/>
          <w:bdr w:val="none" w:color="auto" w:sz="0" w:space="0"/>
          <w:lang w:val="en-US"/>
        </w:rPr>
        <w:t>)</w:t>
      </w:r>
      <w:r>
        <w:rPr>
          <w:rFonts w:hint="eastAsia" w:ascii="仿宋" w:hAnsi="仿宋" w:eastAsia="仿宋" w:cs="仿宋"/>
          <w:color w:val="00000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1.</w:t>
      </w:r>
      <w:r>
        <w:rPr>
          <w:rFonts w:hint="eastAsia" w:ascii="仿宋" w:hAnsi="仿宋" w:eastAsia="仿宋" w:cs="仿宋"/>
          <w:color w:val="000000"/>
          <w:sz w:val="19"/>
          <w:szCs w:val="19"/>
          <w:bdr w:val="none" w:color="auto" w:sz="0" w:space="0"/>
        </w:rPr>
        <w:t>优先调剂报考公共管理（</w:t>
      </w:r>
      <w:r>
        <w:rPr>
          <w:rFonts w:hint="eastAsia" w:ascii="仿宋" w:hAnsi="仿宋" w:eastAsia="仿宋" w:cs="仿宋"/>
          <w:color w:val="000000"/>
          <w:sz w:val="19"/>
          <w:szCs w:val="19"/>
          <w:bdr w:val="none" w:color="auto" w:sz="0" w:space="0"/>
          <w:lang w:val="en-US"/>
        </w:rPr>
        <w:t>MPA</w:t>
      </w:r>
      <w:r>
        <w:rPr>
          <w:rFonts w:hint="eastAsia" w:ascii="仿宋" w:hAnsi="仿宋" w:eastAsia="仿宋" w:cs="仿宋"/>
          <w:color w:val="000000"/>
          <w:sz w:val="19"/>
          <w:szCs w:val="19"/>
          <w:bdr w:val="none" w:color="auto" w:sz="0" w:space="0"/>
        </w:rPr>
        <w:t>）的考生。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2.</w:t>
      </w:r>
      <w:r>
        <w:rPr>
          <w:rFonts w:hint="eastAsia" w:ascii="仿宋" w:hAnsi="仿宋" w:eastAsia="仿宋" w:cs="仿宋"/>
          <w:color w:val="000000"/>
          <w:sz w:val="19"/>
          <w:szCs w:val="19"/>
          <w:bdr w:val="none" w:color="auto" w:sz="0" w:space="0"/>
        </w:rPr>
        <w:t>已参加学校组织的公共管理（</w:t>
      </w:r>
      <w:r>
        <w:rPr>
          <w:rFonts w:hint="eastAsia" w:ascii="仿宋" w:hAnsi="仿宋" w:eastAsia="仿宋" w:cs="仿宋"/>
          <w:color w:val="000000"/>
          <w:sz w:val="19"/>
          <w:szCs w:val="19"/>
          <w:bdr w:val="none" w:color="auto" w:sz="0" w:space="0"/>
          <w:lang w:val="en-US"/>
        </w:rPr>
        <w:t>MPA</w:t>
      </w:r>
      <w:r>
        <w:rPr>
          <w:rFonts w:hint="eastAsia" w:ascii="仿宋" w:hAnsi="仿宋" w:eastAsia="仿宋" w:cs="仿宋"/>
          <w:color w:val="000000"/>
          <w:sz w:val="19"/>
          <w:szCs w:val="19"/>
          <w:bdr w:val="none" w:color="auto" w:sz="0" w:space="0"/>
        </w:rPr>
        <w:t>）复试的考生，中心不再组织复试，按原有总成绩排名录取；公共管理（</w:t>
      </w:r>
      <w:r>
        <w:rPr>
          <w:rFonts w:hint="eastAsia" w:ascii="仿宋" w:hAnsi="仿宋" w:eastAsia="仿宋" w:cs="仿宋"/>
          <w:color w:val="000000"/>
          <w:sz w:val="19"/>
          <w:szCs w:val="19"/>
          <w:bdr w:val="none" w:color="auto" w:sz="0" w:space="0"/>
          <w:lang w:val="en-US"/>
        </w:rPr>
        <w:t>MPA</w:t>
      </w:r>
      <w:r>
        <w:rPr>
          <w:rFonts w:hint="eastAsia" w:ascii="仿宋" w:hAnsi="仿宋" w:eastAsia="仿宋" w:cs="仿宋"/>
          <w:color w:val="000000"/>
          <w:sz w:val="19"/>
          <w:szCs w:val="19"/>
          <w:bdr w:val="none" w:color="auto" w:sz="0" w:space="0"/>
        </w:rPr>
        <w:t>）生源不足时，优先调剂初试科目相同且已参加学校组织的复试考生，中心不再组织复试，按原有总成绩排名录取；其它考生需要参加调剂复试的，按总成绩排名录取。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三 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1.</w:t>
      </w:r>
      <w:r>
        <w:rPr>
          <w:rFonts w:hint="eastAsia" w:ascii="仿宋" w:hAnsi="仿宋" w:eastAsia="仿宋" w:cs="仿宋"/>
          <w:color w:val="000000"/>
          <w:sz w:val="19"/>
          <w:szCs w:val="19"/>
          <w:bdr w:val="none" w:color="auto" w:sz="0" w:space="0"/>
        </w:rPr>
        <w:t>调剂考生本人需在</w:t>
      </w:r>
      <w:r>
        <w:rPr>
          <w:rFonts w:hint="eastAsia" w:ascii="仿宋" w:hAnsi="仿宋" w:eastAsia="仿宋" w:cs="仿宋"/>
          <w:color w:val="000000"/>
          <w:sz w:val="19"/>
          <w:szCs w:val="19"/>
          <w:bdr w:val="none" w:color="auto" w:sz="0" w:space="0"/>
          <w:lang w:val="en-US"/>
        </w:rPr>
        <w:t>4</w:t>
      </w:r>
      <w:r>
        <w:rPr>
          <w:rFonts w:hint="eastAsia" w:ascii="仿宋" w:hAnsi="仿宋" w:eastAsia="仿宋" w:cs="仿宋"/>
          <w:color w:val="000000"/>
          <w:sz w:val="19"/>
          <w:szCs w:val="19"/>
          <w:bdr w:val="none" w:color="auto" w:sz="0" w:space="0"/>
        </w:rPr>
        <w:t>月</w:t>
      </w:r>
      <w:r>
        <w:rPr>
          <w:rFonts w:hint="eastAsia" w:ascii="仿宋" w:hAnsi="仿宋" w:eastAsia="仿宋" w:cs="仿宋"/>
          <w:color w:val="000000"/>
          <w:sz w:val="19"/>
          <w:szCs w:val="19"/>
          <w:bdr w:val="none" w:color="auto" w:sz="0" w:space="0"/>
          <w:lang w:val="en-US"/>
        </w:rPr>
        <w:t>10</w:t>
      </w:r>
      <w:r>
        <w:rPr>
          <w:rFonts w:hint="eastAsia" w:ascii="仿宋" w:hAnsi="仿宋" w:eastAsia="仿宋" w:cs="仿宋"/>
          <w:color w:val="000000"/>
          <w:sz w:val="19"/>
          <w:szCs w:val="19"/>
          <w:bdr w:val="none" w:color="auto" w:sz="0" w:space="0"/>
        </w:rPr>
        <w:t>日</w:t>
      </w:r>
      <w:r>
        <w:rPr>
          <w:rFonts w:hint="eastAsia" w:ascii="仿宋" w:hAnsi="仿宋" w:eastAsia="仿宋" w:cs="仿宋"/>
          <w:color w:val="000000"/>
          <w:sz w:val="19"/>
          <w:szCs w:val="19"/>
          <w:bdr w:val="none" w:color="auto" w:sz="0" w:space="0"/>
          <w:lang w:val="en-US"/>
        </w:rPr>
        <w:t>12</w:t>
      </w:r>
      <w:r>
        <w:rPr>
          <w:rFonts w:hint="eastAsia" w:ascii="仿宋" w:hAnsi="仿宋" w:eastAsia="仿宋" w:cs="仿宋"/>
          <w:color w:val="000000"/>
          <w:sz w:val="19"/>
          <w:szCs w:val="19"/>
          <w:bdr w:val="none" w:color="auto" w:sz="0" w:space="0"/>
        </w:rPr>
        <w:t>时前填报《吉林大学</w:t>
      </w:r>
      <w:r>
        <w:rPr>
          <w:rFonts w:hint="eastAsia" w:ascii="仿宋" w:hAnsi="仿宋" w:eastAsia="仿宋" w:cs="仿宋"/>
          <w:color w:val="000000"/>
          <w:sz w:val="19"/>
          <w:szCs w:val="19"/>
          <w:bdr w:val="none" w:color="auto" w:sz="0" w:space="0"/>
          <w:lang w:val="en-US"/>
        </w:rPr>
        <w:t>2023</w:t>
      </w:r>
      <w:r>
        <w:rPr>
          <w:rFonts w:hint="eastAsia" w:ascii="仿宋" w:hAnsi="仿宋" w:eastAsia="仿宋" w:cs="仿宋"/>
          <w:color w:val="000000"/>
          <w:sz w:val="19"/>
          <w:szCs w:val="19"/>
          <w:bdr w:val="none" w:color="auto" w:sz="0" w:space="0"/>
        </w:rPr>
        <w:t>年硕士研究生招生调剂申请表》（见附件），发送至邮箱</w:t>
      </w:r>
      <w:r>
        <w:rPr>
          <w:rFonts w:hint="eastAsia" w:ascii="仿宋" w:hAnsi="仿宋" w:eastAsia="仿宋" w:cs="仿宋"/>
          <w:color w:val="000000"/>
          <w:sz w:val="19"/>
          <w:szCs w:val="19"/>
          <w:bdr w:val="none" w:color="auto" w:sz="0" w:space="0"/>
          <w:lang w:val="en-US"/>
        </w:rPr>
        <w:t>cppcc@jlu.edu.cn</w:t>
      </w:r>
      <w:r>
        <w:rPr>
          <w:rFonts w:hint="eastAsia" w:ascii="仿宋" w:hAnsi="仿宋" w:eastAsia="仿宋" w:cs="仿宋"/>
          <w:color w:val="000000"/>
          <w:sz w:val="19"/>
          <w:szCs w:val="19"/>
          <w:bdr w:val="none" w:color="auto" w:sz="0" w:space="0"/>
        </w:rPr>
        <w:t>，文件名“</w:t>
      </w:r>
      <w:r>
        <w:rPr>
          <w:rStyle w:val="6"/>
          <w:rFonts w:hint="eastAsia" w:ascii="仿宋" w:hAnsi="仿宋" w:eastAsia="仿宋" w:cs="仿宋"/>
          <w:color w:val="000000"/>
          <w:sz w:val="19"/>
          <w:szCs w:val="19"/>
          <w:bdr w:val="none" w:color="auto" w:sz="0" w:space="0"/>
          <w:lang w:val="en-US"/>
        </w:rPr>
        <w:t>2023</w:t>
      </w:r>
      <w:r>
        <w:rPr>
          <w:rStyle w:val="6"/>
          <w:rFonts w:hint="eastAsia" w:ascii="仿宋" w:hAnsi="仿宋" w:eastAsia="仿宋" w:cs="仿宋"/>
          <w:color w:val="000000"/>
          <w:sz w:val="19"/>
          <w:szCs w:val="19"/>
          <w:bdr w:val="none" w:color="auto" w:sz="0" w:space="0"/>
        </w:rPr>
        <w:t>（</w:t>
      </w:r>
      <w:r>
        <w:rPr>
          <w:rStyle w:val="6"/>
          <w:rFonts w:hint="eastAsia" w:ascii="仿宋" w:hAnsi="仿宋" w:eastAsia="仿宋" w:cs="仿宋"/>
          <w:color w:val="000000"/>
          <w:sz w:val="19"/>
          <w:szCs w:val="19"/>
          <w:bdr w:val="none" w:color="auto" w:sz="0" w:space="0"/>
          <w:lang w:val="en-US"/>
        </w:rPr>
        <w:t>MPA</w:t>
      </w:r>
      <w:r>
        <w:rPr>
          <w:rStyle w:val="6"/>
          <w:rFonts w:hint="eastAsia" w:ascii="仿宋" w:hAnsi="仿宋" w:eastAsia="仿宋" w:cs="仿宋"/>
          <w:color w:val="000000"/>
          <w:sz w:val="19"/>
          <w:szCs w:val="19"/>
          <w:bdr w:val="none" w:color="auto" w:sz="0" w:space="0"/>
        </w:rPr>
        <w:t>）调剂</w:t>
      </w:r>
      <w:r>
        <w:rPr>
          <w:rStyle w:val="6"/>
          <w:rFonts w:hint="eastAsia" w:ascii="仿宋" w:hAnsi="仿宋" w:eastAsia="仿宋" w:cs="仿宋"/>
          <w:color w:val="000000"/>
          <w:sz w:val="19"/>
          <w:szCs w:val="19"/>
          <w:bdr w:val="none" w:color="auto" w:sz="0" w:space="0"/>
          <w:lang w:val="en-US"/>
        </w:rPr>
        <w:t>+</w:t>
      </w:r>
      <w:r>
        <w:rPr>
          <w:rStyle w:val="6"/>
          <w:rFonts w:hint="eastAsia" w:ascii="仿宋" w:hAnsi="仿宋" w:eastAsia="仿宋" w:cs="仿宋"/>
          <w:color w:val="000000"/>
          <w:sz w:val="19"/>
          <w:szCs w:val="19"/>
          <w:bdr w:val="none" w:color="auto" w:sz="0" w:space="0"/>
        </w:rPr>
        <w:t>姓名</w:t>
      </w:r>
      <w:r>
        <w:rPr>
          <w:rStyle w:val="6"/>
          <w:rFonts w:hint="eastAsia" w:ascii="仿宋" w:hAnsi="仿宋" w:eastAsia="仿宋" w:cs="仿宋"/>
          <w:color w:val="000000"/>
          <w:sz w:val="19"/>
          <w:szCs w:val="19"/>
          <w:bdr w:val="none" w:color="auto" w:sz="0" w:space="0"/>
          <w:lang w:val="en-US"/>
        </w:rPr>
        <w:t>+</w:t>
      </w:r>
      <w:r>
        <w:rPr>
          <w:rStyle w:val="6"/>
          <w:rFonts w:hint="eastAsia" w:ascii="仿宋" w:hAnsi="仿宋" w:eastAsia="仿宋" w:cs="仿宋"/>
          <w:color w:val="000000"/>
          <w:sz w:val="19"/>
          <w:szCs w:val="19"/>
          <w:bdr w:val="none" w:color="auto" w:sz="0" w:space="0"/>
        </w:rPr>
        <w:t>调剂申请表</w:t>
      </w:r>
      <w:r>
        <w:rPr>
          <w:rFonts w:hint="eastAsia" w:ascii="仿宋" w:hAnsi="仿宋" w:eastAsia="仿宋" w:cs="仿宋"/>
          <w:color w:val="000000"/>
          <w:sz w:val="19"/>
          <w:szCs w:val="19"/>
          <w:bdr w:val="none" w:color="auto" w:sz="0" w:space="0"/>
        </w:rPr>
        <w:t>”，逾期未提交视为本人放弃调剂。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2.</w:t>
      </w:r>
      <w:r>
        <w:rPr>
          <w:rFonts w:hint="eastAsia" w:ascii="仿宋" w:hAnsi="仿宋" w:eastAsia="仿宋" w:cs="仿宋"/>
          <w:color w:val="000000"/>
          <w:sz w:val="19"/>
          <w:szCs w:val="19"/>
          <w:bdr w:val="none" w:color="auto" w:sz="0" w:space="0"/>
        </w:rPr>
        <w:t>所有调剂考生必须通过教育部指定的“全国硕士生招生调剂服务系统”（网址</w:t>
      </w:r>
      <w:r>
        <w:rPr>
          <w:rFonts w:hint="eastAsia" w:ascii="仿宋" w:hAnsi="仿宋" w:eastAsia="仿宋" w:cs="仿宋"/>
          <w:color w:val="000000"/>
          <w:sz w:val="19"/>
          <w:szCs w:val="19"/>
          <w:bdr w:val="none" w:color="auto" w:sz="0" w:space="0"/>
          <w:lang w:val="en-US"/>
        </w:rPr>
        <w:t>http://yz.chsi.com.cn</w:t>
      </w:r>
      <w:r>
        <w:rPr>
          <w:rFonts w:hint="eastAsia" w:ascii="仿宋" w:hAnsi="仿宋" w:eastAsia="仿宋" w:cs="仿宋"/>
          <w:color w:val="000000"/>
          <w:sz w:val="19"/>
          <w:szCs w:val="19"/>
          <w:bdr w:val="none" w:color="auto" w:sz="0" w:space="0"/>
        </w:rPr>
        <w:t>）进行（退役大学生士兵加分项目考生、享受少数民族政策考生可除外）。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开网时间：</w:t>
      </w:r>
      <w:r>
        <w:rPr>
          <w:rFonts w:hint="eastAsia" w:ascii="仿宋" w:hAnsi="仿宋" w:eastAsia="仿宋" w:cs="仿宋"/>
          <w:color w:val="000000"/>
          <w:sz w:val="19"/>
          <w:szCs w:val="19"/>
          <w:bdr w:val="none" w:color="auto" w:sz="0" w:space="0"/>
          <w:lang w:val="en-US"/>
        </w:rPr>
        <w:t>4</w:t>
      </w:r>
      <w:r>
        <w:rPr>
          <w:rFonts w:hint="eastAsia" w:ascii="仿宋" w:hAnsi="仿宋" w:eastAsia="仿宋" w:cs="仿宋"/>
          <w:color w:val="000000"/>
          <w:sz w:val="19"/>
          <w:szCs w:val="19"/>
          <w:bdr w:val="none" w:color="auto" w:sz="0" w:space="0"/>
        </w:rPr>
        <w:t>月</w:t>
      </w:r>
      <w:r>
        <w:rPr>
          <w:rFonts w:hint="eastAsia" w:ascii="仿宋" w:hAnsi="仿宋" w:eastAsia="仿宋" w:cs="仿宋"/>
          <w:color w:val="000000"/>
          <w:sz w:val="19"/>
          <w:szCs w:val="19"/>
          <w:bdr w:val="none" w:color="auto" w:sz="0" w:space="0"/>
          <w:lang w:val="en-US"/>
        </w:rPr>
        <w:t>10</w:t>
      </w:r>
      <w:r>
        <w:rPr>
          <w:rFonts w:hint="eastAsia" w:ascii="仿宋" w:hAnsi="仿宋" w:eastAsia="仿宋" w:cs="仿宋"/>
          <w:color w:val="000000"/>
          <w:sz w:val="19"/>
          <w:szCs w:val="19"/>
          <w:bdr w:val="none" w:color="auto" w:sz="0" w:space="0"/>
        </w:rPr>
        <w:t>日</w:t>
      </w:r>
      <w:r>
        <w:rPr>
          <w:rFonts w:hint="eastAsia" w:ascii="仿宋" w:hAnsi="仿宋" w:eastAsia="仿宋" w:cs="仿宋"/>
          <w:color w:val="000000"/>
          <w:sz w:val="19"/>
          <w:szCs w:val="19"/>
          <w:bdr w:val="none" w:color="auto" w:sz="0" w:space="0"/>
          <w:lang w:val="en-US"/>
        </w:rPr>
        <w:t>8</w:t>
      </w:r>
      <w:r>
        <w:rPr>
          <w:rFonts w:hint="eastAsia" w:ascii="仿宋" w:hAnsi="仿宋" w:eastAsia="仿宋" w:cs="仿宋"/>
          <w:color w:val="000000"/>
          <w:sz w:val="19"/>
          <w:szCs w:val="19"/>
          <w:bdr w:val="none" w:color="auto" w:sz="0" w:space="0"/>
        </w:rPr>
        <w:t>：</w:t>
      </w:r>
      <w:r>
        <w:rPr>
          <w:rFonts w:hint="eastAsia" w:ascii="仿宋" w:hAnsi="仿宋" w:eastAsia="仿宋" w:cs="仿宋"/>
          <w:color w:val="000000"/>
          <w:sz w:val="19"/>
          <w:szCs w:val="19"/>
          <w:bdr w:val="none" w:color="auto" w:sz="0" w:space="0"/>
          <w:lang w:val="en-US"/>
        </w:rPr>
        <w:t>00-20</w:t>
      </w:r>
      <w:r>
        <w:rPr>
          <w:rFonts w:hint="eastAsia" w:ascii="仿宋" w:hAnsi="仿宋" w:eastAsia="仿宋" w:cs="仿宋"/>
          <w:color w:val="000000"/>
          <w:sz w:val="19"/>
          <w:szCs w:val="19"/>
          <w:bdr w:val="none" w:color="auto" w:sz="0" w:space="0"/>
        </w:rPr>
        <w:t>：</w:t>
      </w:r>
      <w:r>
        <w:rPr>
          <w:rFonts w:hint="eastAsia" w:ascii="仿宋" w:hAnsi="仿宋" w:eastAsia="仿宋" w:cs="仿宋"/>
          <w:color w:val="000000"/>
          <w:sz w:val="19"/>
          <w:szCs w:val="19"/>
          <w:bdr w:val="none" w:color="auto" w:sz="0" w:space="0"/>
          <w:lang w:val="en-US"/>
        </w:rPr>
        <w:t>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联系人：李老师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联系电话：</w:t>
      </w:r>
      <w:r>
        <w:rPr>
          <w:rFonts w:hint="eastAsia" w:ascii="仿宋" w:hAnsi="仿宋" w:eastAsia="仿宋" w:cs="仿宋"/>
          <w:color w:val="000000"/>
          <w:sz w:val="19"/>
          <w:szCs w:val="19"/>
          <w:bdr w:val="none" w:color="auto" w:sz="0" w:space="0"/>
          <w:lang w:val="en-US"/>
        </w:rPr>
        <w:t>85159032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rPr>
        <w:t>电子邮箱：</w:t>
      </w:r>
      <w:r>
        <w:rPr>
          <w:rFonts w:hint="eastAsia" w:ascii="仿宋" w:hAnsi="仿宋" w:eastAsia="仿宋" w:cs="仿宋"/>
          <w:color w:val="000000"/>
          <w:sz w:val="19"/>
          <w:szCs w:val="19"/>
          <w:bdr w:val="none" w:color="auto" w:sz="0" w:space="0"/>
          <w:lang w:val="en-US"/>
        </w:rPr>
        <w:t>cppcc@jlu.edu.cn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3. </w:t>
      </w:r>
      <w:r>
        <w:rPr>
          <w:rFonts w:hint="eastAsia" w:ascii="仿宋" w:hAnsi="仿宋" w:eastAsia="仿宋" w:cs="仿宋"/>
          <w:color w:val="000000"/>
          <w:sz w:val="19"/>
          <w:szCs w:val="19"/>
          <w:bdr w:val="none" w:color="auto" w:sz="0" w:space="0"/>
        </w:rPr>
        <w:t>其他未尽事宜，按学校相关规定执行。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2320"/>
        <w:jc w:val="left"/>
        <w:rPr>
          <w:color w:val="000000"/>
          <w:sz w:val="16"/>
          <w:szCs w:val="16"/>
        </w:rPr>
      </w:pPr>
      <w:r>
        <w:rPr>
          <w:rFonts w:hint="eastAsia" w:ascii="仿宋" w:hAnsi="仿宋" w:eastAsia="仿宋" w:cs="仿宋"/>
          <w:color w:val="000000"/>
          <w:sz w:val="19"/>
          <w:szCs w:val="19"/>
          <w:bdr w:val="none" w:color="auto" w:sz="0" w:space="0"/>
        </w:rPr>
        <w:t>                      吉林大学人民政协理论研究中心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70"/>
        <w:jc w:val="left"/>
        <w:rPr>
          <w:color w:val="000000"/>
          <w:sz w:val="16"/>
          <w:szCs w:val="16"/>
        </w:rPr>
      </w:pPr>
      <w:r>
        <w:rPr>
          <w:rFonts w:hint="eastAsia" w:ascii="仿宋" w:hAnsi="仿宋" w:eastAsia="仿宋" w:cs="仿宋"/>
          <w:color w:val="000000"/>
          <w:sz w:val="19"/>
          <w:szCs w:val="19"/>
          <w:bdr w:val="none" w:color="auto" w:sz="0" w:space="0"/>
          <w:lang w:val="en-US"/>
        </w:rPr>
        <w:t>                                                        2023</w:t>
      </w:r>
      <w:r>
        <w:rPr>
          <w:rFonts w:hint="eastAsia" w:ascii="仿宋" w:hAnsi="仿宋" w:eastAsia="仿宋" w:cs="仿宋"/>
          <w:color w:val="000000"/>
          <w:sz w:val="19"/>
          <w:szCs w:val="19"/>
          <w:bdr w:val="none" w:color="auto" w:sz="0" w:space="0"/>
        </w:rPr>
        <w:t>年</w:t>
      </w:r>
      <w:r>
        <w:rPr>
          <w:rFonts w:hint="eastAsia" w:ascii="仿宋" w:hAnsi="仿宋" w:eastAsia="仿宋" w:cs="仿宋"/>
          <w:color w:val="000000"/>
          <w:sz w:val="19"/>
          <w:szCs w:val="19"/>
          <w:bdr w:val="none" w:color="auto" w:sz="0" w:space="0"/>
          <w:lang w:val="en-US"/>
        </w:rPr>
        <w:t>4</w:t>
      </w:r>
      <w:r>
        <w:rPr>
          <w:rFonts w:hint="eastAsia" w:ascii="仿宋" w:hAnsi="仿宋" w:eastAsia="仿宋" w:cs="仿宋"/>
          <w:color w:val="000000"/>
          <w:sz w:val="19"/>
          <w:szCs w:val="19"/>
          <w:bdr w:val="none" w:color="auto" w:sz="0" w:space="0"/>
        </w:rPr>
        <w:t>月</w:t>
      </w:r>
      <w:r>
        <w:rPr>
          <w:rFonts w:hint="eastAsia" w:ascii="仿宋" w:hAnsi="仿宋" w:eastAsia="仿宋" w:cs="仿宋"/>
          <w:color w:val="000000"/>
          <w:sz w:val="19"/>
          <w:szCs w:val="19"/>
          <w:bdr w:val="none" w:color="auto" w:sz="0" w:space="0"/>
          <w:lang w:val="en-US"/>
        </w:rPr>
        <w:t>9</w:t>
      </w:r>
      <w:r>
        <w:rPr>
          <w:rFonts w:hint="eastAsia" w:ascii="仿宋" w:hAnsi="仿宋" w:eastAsia="仿宋" w:cs="仿宋"/>
          <w:color w:val="000000"/>
          <w:sz w:val="19"/>
          <w:szCs w:val="19"/>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0" w:lineRule="atLeast"/>
        <w:ind w:left="0" w:right="0" w:firstLine="380"/>
        <w:jc w:val="left"/>
        <w:rPr>
          <w:color w:val="000000"/>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3E4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756</Words>
  <Characters>894</Characters>
  <Lines>0</Lines>
  <Paragraphs>0</Paragraphs>
  <TotalTime>0</TotalTime>
  <ScaleCrop>false</ScaleCrop>
  <LinksUpToDate>false</LinksUpToDate>
  <CharactersWithSpaces>986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2023-06-01T10:18:01Z</dcterms:created>
  <dc:creator>Administrator</dc:creator>
  <cp:lastModifiedBy>王英</cp:lastModifiedBy>
  <dcterms:modified xsi:type="dcterms:W3CDTF">2023-06-01T10:18:15Z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1A9A821542BB44D196EBFB7553376B73</vt:lpwstr>
  </property>
</Properties>
</file>