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1" w:beforeAutospacing="0" w:after="181" w:afterAutospacing="0"/>
        <w:ind w:left="0" w:right="0" w:firstLine="0"/>
        <w:jc w:val="center"/>
        <w:rPr>
          <w:rFonts w:hint="default" w:ascii="Times New Roman" w:hAnsi="Times New Roman" w:cs="Times New Roman"/>
          <w:i w:val="0"/>
          <w:iCs w:val="0"/>
          <w:caps w:val="0"/>
          <w:color w:val="000000"/>
          <w:spacing w:val="0"/>
          <w:sz w:val="44"/>
          <w:szCs w:val="44"/>
        </w:rPr>
      </w:pPr>
      <w:bookmarkStart w:id="0" w:name="_GoBack"/>
      <w:r>
        <w:rPr>
          <w:rFonts w:hint="default" w:ascii="Times New Roman" w:hAnsi="Times New Roman" w:cs="Times New Roman"/>
          <w:i w:val="0"/>
          <w:iCs w:val="0"/>
          <w:caps w:val="0"/>
          <w:color w:val="000000"/>
          <w:spacing w:val="0"/>
          <w:sz w:val="44"/>
          <w:szCs w:val="44"/>
          <w:bdr w:val="none" w:color="auto" w:sz="0" w:space="0"/>
          <w:shd w:val="clear" w:fill="FFFFFF"/>
        </w:rPr>
        <w:t>生物与农业工程学院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1" w:beforeAutospacing="0" w:after="181" w:afterAutospacing="0"/>
        <w:ind w:left="0" w:right="0" w:firstLine="0"/>
        <w:jc w:val="center"/>
        <w:rPr>
          <w:rFonts w:hint="default" w:ascii="Times New Roman" w:hAnsi="Times New Roman" w:cs="Times New Roman"/>
          <w:i w:val="0"/>
          <w:iCs w:val="0"/>
          <w:caps w:val="0"/>
          <w:color w:val="000000"/>
          <w:spacing w:val="0"/>
          <w:sz w:val="44"/>
          <w:szCs w:val="44"/>
        </w:rPr>
      </w:pPr>
      <w:r>
        <w:rPr>
          <w:rFonts w:hint="default" w:ascii="Times New Roman" w:hAnsi="Times New Roman" w:cs="Times New Roman"/>
          <w:i w:val="0"/>
          <w:iCs w:val="0"/>
          <w:caps w:val="0"/>
          <w:color w:val="000000"/>
          <w:spacing w:val="0"/>
          <w:sz w:val="44"/>
          <w:szCs w:val="44"/>
          <w:bdr w:val="none" w:color="auto" w:sz="0" w:space="0"/>
          <w:shd w:val="clear" w:fill="FFFFFF"/>
        </w:rPr>
        <w:t>2023年硕士研究生招生调剂录取办法（第二批）</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根据《2023年全国硕士研究生招生工作管理规定》、《吉林大学2023年硕士研究生招生调剂办法》等文件精神，现制定我院2023年硕士研究生招生调剂办法如下：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一、调剂原则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原则上在院内已参加复试且合格的生源。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二、接收调剂专业及人数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 </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0"/>
        <w:gridCol w:w="600"/>
        <w:gridCol w:w="1220"/>
        <w:gridCol w:w="680"/>
        <w:gridCol w:w="510"/>
        <w:gridCol w:w="460"/>
        <w:gridCol w:w="420"/>
        <w:gridCol w:w="400"/>
        <w:gridCol w:w="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1" w:hRule="atLeast"/>
          <w:tblCellSpacing w:w="0" w:type="dxa"/>
          <w:jc w:val="center"/>
        </w:trPr>
        <w:tc>
          <w:tcPr>
            <w:tcW w:w="740" w:type="dxa"/>
            <w:vMerge w:val="restart"/>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学院代码</w:t>
            </w:r>
          </w:p>
        </w:tc>
        <w:tc>
          <w:tcPr>
            <w:tcW w:w="600" w:type="dxa"/>
            <w:vMerge w:val="restart"/>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代码</w:t>
            </w:r>
          </w:p>
        </w:tc>
        <w:tc>
          <w:tcPr>
            <w:tcW w:w="1220" w:type="dxa"/>
            <w:vMerge w:val="restart"/>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调剂专业</w:t>
            </w:r>
          </w:p>
        </w:tc>
        <w:tc>
          <w:tcPr>
            <w:tcW w:w="660" w:type="dxa"/>
            <w:vMerge w:val="restart"/>
            <w:tcBorders>
              <w:top w:val="single" w:color="auto" w:sz="4" w:space="0"/>
              <w:left w:val="single" w:color="auto" w:sz="4" w:space="0"/>
              <w:bottom w:val="single" w:color="auto" w:sz="4" w:space="0"/>
              <w:right w:val="single" w:color="auto" w:sz="4" w:space="0"/>
            </w:tcBorders>
            <w:shd w:val="clear"/>
            <w:noWrap/>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人数</w:t>
            </w:r>
          </w:p>
        </w:tc>
        <w:tc>
          <w:tcPr>
            <w:tcW w:w="2180" w:type="dxa"/>
            <w:gridSpan w:val="5"/>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初试成绩要求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740" w:type="dxa"/>
            <w:vMerge w:val="continue"/>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rPr>
                <w:rFonts w:hint="eastAsia" w:ascii="宋体"/>
                <w:sz w:val="14"/>
                <w:szCs w:val="14"/>
              </w:rPr>
            </w:pPr>
          </w:p>
        </w:tc>
        <w:tc>
          <w:tcPr>
            <w:tcW w:w="600" w:type="dxa"/>
            <w:vMerge w:val="continue"/>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rPr>
                <w:rFonts w:hint="eastAsia" w:ascii="宋体"/>
                <w:sz w:val="14"/>
                <w:szCs w:val="14"/>
              </w:rPr>
            </w:pPr>
          </w:p>
        </w:tc>
        <w:tc>
          <w:tcPr>
            <w:tcW w:w="1220" w:type="dxa"/>
            <w:vMerge w:val="continue"/>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rPr>
                <w:rFonts w:hint="eastAsia" w:ascii="宋体"/>
                <w:sz w:val="14"/>
                <w:szCs w:val="14"/>
              </w:rPr>
            </w:pPr>
          </w:p>
        </w:tc>
        <w:tc>
          <w:tcPr>
            <w:tcW w:w="660" w:type="dxa"/>
            <w:vMerge w:val="continue"/>
            <w:tcBorders>
              <w:top w:val="single" w:color="auto" w:sz="4" w:space="0"/>
              <w:left w:val="single" w:color="auto" w:sz="4" w:space="0"/>
              <w:bottom w:val="single" w:color="auto" w:sz="4" w:space="0"/>
              <w:right w:val="single" w:color="auto" w:sz="4" w:space="0"/>
            </w:tcBorders>
            <w:shd w:val="clear"/>
            <w:noWrap/>
            <w:tcMar>
              <w:left w:w="30" w:type="dxa"/>
              <w:right w:w="30" w:type="dxa"/>
            </w:tcMar>
            <w:vAlign w:val="center"/>
          </w:tcPr>
          <w:p>
            <w:pPr>
              <w:rPr>
                <w:rFonts w:hint="eastAsia" w:ascii="宋体"/>
                <w:sz w:val="14"/>
                <w:szCs w:val="14"/>
              </w:rPr>
            </w:pPr>
          </w:p>
        </w:tc>
        <w:tc>
          <w:tcPr>
            <w:tcW w:w="51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总分</w:t>
            </w:r>
          </w:p>
        </w:tc>
        <w:tc>
          <w:tcPr>
            <w:tcW w:w="46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政治</w:t>
            </w:r>
          </w:p>
        </w:tc>
        <w:tc>
          <w:tcPr>
            <w:tcW w:w="42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外语</w:t>
            </w:r>
          </w:p>
        </w:tc>
        <w:tc>
          <w:tcPr>
            <w:tcW w:w="4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业务课一</w:t>
            </w:r>
          </w:p>
        </w:tc>
        <w:tc>
          <w:tcPr>
            <w:tcW w:w="4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业务课二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74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405</w:t>
            </w:r>
          </w:p>
        </w:tc>
        <w:tc>
          <w:tcPr>
            <w:tcW w:w="6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082803</w:t>
            </w:r>
          </w:p>
        </w:tc>
        <w:tc>
          <w:tcPr>
            <w:tcW w:w="122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农业生物环境与能源工程</w:t>
            </w:r>
          </w:p>
        </w:tc>
        <w:tc>
          <w:tcPr>
            <w:tcW w:w="66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1</w:t>
            </w:r>
          </w:p>
        </w:tc>
        <w:tc>
          <w:tcPr>
            <w:tcW w:w="51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310</w:t>
            </w:r>
          </w:p>
        </w:tc>
        <w:tc>
          <w:tcPr>
            <w:tcW w:w="46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45</w:t>
            </w:r>
          </w:p>
        </w:tc>
        <w:tc>
          <w:tcPr>
            <w:tcW w:w="42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45</w:t>
            </w:r>
          </w:p>
        </w:tc>
        <w:tc>
          <w:tcPr>
            <w:tcW w:w="4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68</w:t>
            </w:r>
          </w:p>
        </w:tc>
        <w:tc>
          <w:tcPr>
            <w:tcW w:w="4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1" w:hRule="atLeast"/>
          <w:tblCellSpacing w:w="0" w:type="dxa"/>
          <w:jc w:val="center"/>
        </w:trPr>
        <w:tc>
          <w:tcPr>
            <w:tcW w:w="74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405</w:t>
            </w:r>
          </w:p>
        </w:tc>
        <w:tc>
          <w:tcPr>
            <w:tcW w:w="6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085500</w:t>
            </w:r>
          </w:p>
        </w:tc>
        <w:tc>
          <w:tcPr>
            <w:tcW w:w="122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rPr>
              <w:t>机械</w:t>
            </w:r>
          </w:p>
        </w:tc>
        <w:tc>
          <w:tcPr>
            <w:tcW w:w="66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1</w:t>
            </w:r>
          </w:p>
        </w:tc>
        <w:tc>
          <w:tcPr>
            <w:tcW w:w="51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310</w:t>
            </w:r>
          </w:p>
        </w:tc>
        <w:tc>
          <w:tcPr>
            <w:tcW w:w="46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45</w:t>
            </w:r>
          </w:p>
        </w:tc>
        <w:tc>
          <w:tcPr>
            <w:tcW w:w="42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45</w:t>
            </w:r>
          </w:p>
        </w:tc>
        <w:tc>
          <w:tcPr>
            <w:tcW w:w="4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68</w:t>
            </w:r>
          </w:p>
        </w:tc>
        <w:tc>
          <w:tcPr>
            <w:tcW w:w="400" w:type="dxa"/>
            <w:tcBorders>
              <w:top w:val="single" w:color="auto" w:sz="4" w:space="0"/>
              <w:left w:val="single" w:color="auto" w:sz="4" w:space="0"/>
              <w:bottom w:val="single" w:color="auto" w:sz="4" w:space="0"/>
              <w:right w:val="single" w:color="auto" w:sz="4" w:space="0"/>
            </w:tcBorders>
            <w:shd w:val="clear"/>
            <w:tcMar>
              <w:left w:w="30" w:type="dxa"/>
              <w:right w:w="3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8" w:lineRule="atLeast"/>
              <w:ind w:left="0" w:right="0" w:firstLine="0"/>
              <w:jc w:val="center"/>
              <w:rPr>
                <w:color w:val="575757"/>
                <w:sz w:val="16"/>
                <w:szCs w:val="16"/>
              </w:rPr>
            </w:pPr>
            <w:r>
              <w:rPr>
                <w:rFonts w:hint="eastAsia" w:ascii="宋体" w:hAnsi="宋体" w:eastAsia="宋体" w:cs="宋体"/>
                <w:color w:val="000000"/>
                <w:sz w:val="16"/>
                <w:szCs w:val="16"/>
                <w:bdr w:val="none" w:color="auto" w:sz="0" w:space="0"/>
                <w:lang w:val="en-US"/>
              </w:rPr>
              <w:t>90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三、接收调剂条件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1.调剂考生必须符合我校招生章程及招生专业目录中规定的调入专业的报考条件。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2.调剂考生必须符合全国初试成绩基本要求（A类考生）、所报第一志愿专业的吉林大学初试成绩基本要求以及调入专业的初试成绩基本要求。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3.调剂考生的调入专业要与其第一志愿报考专业相同或相近，应在同一学科门类范围内（可授不同学科门类学位的专业可跨门类在对应专业所属一级学科范围内进行调剂）。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4.调剂考生的初试科目与调入专业初试科目相同或相近，其中初试全国统一命题科目应与调入专业全国统一命题科目相同（考生初试统考科目涵盖调入专业的所有统考科目的，视为相同）。在全国统一命题科目中，英语一、英语二可视为相同；数学一、数学二、数学三、数学（农）和经济类综合能力可视为相同；数学（农）和化学（农）可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四、调剂流程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1.院内调剂考生，应由考生本人填报“校内调剂申请表”，并发送至邮箱592800894@qq.com。学院审核通过后，方可进行网上调剂。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2.所有调剂考生必须通过教育部指定的“全国硕士生招生调剂服务系统”（网址https://yz.chsi.com.cn）进行网上调剂，否则无效。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注：我院将于</w:t>
      </w: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2023年4月10日10：00~22：00</w:t>
      </w:r>
      <w:r>
        <w:rPr>
          <w:rFonts w:hint="eastAsia" w:ascii="微软雅黑" w:hAnsi="微软雅黑" w:eastAsia="微软雅黑" w:cs="微软雅黑"/>
          <w:i w:val="0"/>
          <w:iCs w:val="0"/>
          <w:caps w:val="0"/>
          <w:color w:val="575757"/>
          <w:spacing w:val="0"/>
          <w:sz w:val="16"/>
          <w:szCs w:val="16"/>
          <w:bdr w:val="none" w:color="auto" w:sz="0" w:space="0"/>
          <w:shd w:val="clear" w:fill="FFFFFF"/>
        </w:rPr>
        <w:t>开放“招生调剂服务系统”。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3.在调剂考生一志愿报考专业的初试科目以及复试科目完全相同具有可比性时，可以使用一志愿复试总成绩录取调剂考生。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4.研究生招生办公室向考生发送复试通知并请考生确认。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Style w:val="7"/>
          <w:rFonts w:hint="eastAsia" w:ascii="微软雅黑" w:hAnsi="微软雅黑" w:eastAsia="微软雅黑" w:cs="微软雅黑"/>
          <w:i w:val="0"/>
          <w:iCs w:val="0"/>
          <w:caps w:val="0"/>
          <w:color w:val="575757"/>
          <w:spacing w:val="0"/>
          <w:sz w:val="16"/>
          <w:szCs w:val="16"/>
          <w:bdr w:val="none" w:color="auto" w:sz="0" w:space="0"/>
          <w:shd w:val="clear" w:fill="FFFFFF"/>
        </w:rPr>
        <w:t>1.调剂考生在院内参加复试的考生中优先录取。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2.其他事项参照吉林大学招生办公室相关通知：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吉林大学招生网_吉林大学2023年硕士研究生招生调剂办法。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联系人：柏老师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0" w:right="0" w:firstLine="420"/>
        <w:jc w:val="both"/>
        <w:rPr>
          <w:rFonts w:hint="eastAsia" w:ascii="微软雅黑" w:hAnsi="微软雅黑" w:eastAsia="微软雅黑" w:cs="微软雅黑"/>
          <w:i w:val="0"/>
          <w:iCs w:val="0"/>
          <w:caps w:val="0"/>
          <w:color w:val="575757"/>
          <w:spacing w:val="0"/>
          <w:sz w:val="16"/>
          <w:szCs w:val="16"/>
        </w:rPr>
      </w:pPr>
      <w:r>
        <w:rPr>
          <w:rFonts w:hint="eastAsia" w:ascii="微软雅黑" w:hAnsi="微软雅黑" w:eastAsia="微软雅黑" w:cs="微软雅黑"/>
          <w:i w:val="0"/>
          <w:iCs w:val="0"/>
          <w:caps w:val="0"/>
          <w:color w:val="575757"/>
          <w:spacing w:val="0"/>
          <w:sz w:val="16"/>
          <w:szCs w:val="16"/>
          <w:bdr w:val="none" w:color="auto" w:sz="0" w:space="0"/>
          <w:shd w:val="clear" w:fill="FFFFFF"/>
        </w:rPr>
        <w:t>咨询电话：0431-85095354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2689" w:right="0" w:firstLine="0"/>
        <w:jc w:val="center"/>
        <w:rPr>
          <w:rFonts w:hint="eastAsia" w:ascii="微软雅黑" w:hAnsi="微软雅黑" w:eastAsia="微软雅黑" w:cs="微软雅黑"/>
          <w:b w:val="0"/>
          <w:bCs w:val="0"/>
          <w:i w:val="0"/>
          <w:iCs w:val="0"/>
          <w:caps w:val="0"/>
          <w:color w:val="000000"/>
          <w:spacing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生物与农业工程学院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8" w:lineRule="atLeast"/>
        <w:ind w:left="2689" w:right="0" w:firstLine="0"/>
        <w:jc w:val="center"/>
        <w:rPr>
          <w:rFonts w:hint="eastAsia" w:ascii="微软雅黑" w:hAnsi="微软雅黑" w:eastAsia="微软雅黑" w:cs="微软雅黑"/>
          <w:b w:val="0"/>
          <w:bCs w:val="0"/>
          <w:i w:val="0"/>
          <w:iCs w:val="0"/>
          <w:caps w:val="0"/>
          <w:color w:val="000000"/>
          <w:spacing w:val="0"/>
          <w:sz w:val="16"/>
          <w:szCs w:val="16"/>
        </w:rPr>
      </w:pPr>
      <w:r>
        <w:rPr>
          <w:rFonts w:hint="eastAsia" w:ascii="微软雅黑" w:hAnsi="微软雅黑" w:eastAsia="微软雅黑" w:cs="微软雅黑"/>
          <w:b w:val="0"/>
          <w:bCs w:val="0"/>
          <w:i w:val="0"/>
          <w:iCs w:val="0"/>
          <w:caps w:val="0"/>
          <w:color w:val="000000"/>
          <w:spacing w:val="0"/>
          <w:sz w:val="16"/>
          <w:szCs w:val="16"/>
          <w:bdr w:val="none" w:color="auto" w:sz="0" w:space="0"/>
          <w:shd w:val="clear" w:fill="FFFFFF"/>
        </w:rPr>
        <w:t>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35E61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2023-06-03T02:37:25Z</dcterms:created>
  <dc:creator>Administrator</dc:creator>
  <cp:lastModifiedBy>王英</cp:lastModifiedBy>
  <dcterms:modified xsi:type="dcterms:W3CDTF">2023-06-03T02:37:32Z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C7C8154C32A84C39AAD6235989C58F5E</vt:lpwstr>
  </property>
</Properties>
</file>