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 w:lineRule="atLeast"/>
        <w:ind w:left="0" w:right="0" w:firstLine="0"/>
        <w:jc w:val="left"/>
        <w:textAlignment w:val="baseline"/>
        <w:rPr>
          <w:rFonts w:ascii="sans-serif" w:hAnsi="sans-serif" w:eastAsia="sans-serif" w:cs="sans-serif"/>
          <w:b/>
          <w:bCs/>
          <w:i w:val="0"/>
          <w:iCs w:val="0"/>
          <w:caps w:val="0"/>
          <w:color w:val="2C2D3F"/>
          <w:spacing w:val="0"/>
          <w:sz w:val="28"/>
          <w:szCs w:val="28"/>
        </w:rPr>
      </w:pPr>
      <w:bookmarkStart w:id="0" w:name="_GoBack"/>
      <w:r>
        <w:rPr>
          <w:rFonts w:hint="default" w:ascii="sans-serif" w:hAnsi="sans-serif" w:eastAsia="sans-serif" w:cs="sans-serif"/>
          <w:b/>
          <w:bCs/>
          <w:i w:val="0"/>
          <w:iCs w:val="0"/>
          <w:caps w:val="0"/>
          <w:color w:val="2C2D3F"/>
          <w:spacing w:val="0"/>
          <w:sz w:val="28"/>
          <w:szCs w:val="28"/>
          <w:bdr w:val="none" w:color="auto" w:sz="0" w:space="0"/>
          <w:shd w:val="clear" w:fill="FFFFFF"/>
          <w:vertAlign w:val="baseline"/>
        </w:rPr>
        <w:t>吉林大学白求恩第一临床医学院2023年硕士研究生招生调剂办法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sans-serif" w:hAnsi="sans-serif" w:eastAsia="sans-serif" w:cs="sans-serif"/>
          <w:i w:val="0"/>
          <w:iCs w:val="0"/>
          <w:caps w:val="0"/>
          <w:color w:val="888888"/>
          <w:spacing w:val="0"/>
          <w:sz w:val="14"/>
          <w:szCs w:val="14"/>
        </w:rPr>
      </w:pPr>
      <w:r>
        <w:rPr>
          <w:rFonts w:hint="default" w:ascii="sans-serif" w:hAnsi="sans-serif" w:eastAsia="sans-serif" w:cs="sans-serif"/>
          <w:i w:val="0"/>
          <w:iCs w:val="0"/>
          <w:caps w:val="0"/>
          <w:color w:val="888888"/>
          <w:spacing w:val="0"/>
          <w:kern w:val="0"/>
          <w:sz w:val="14"/>
          <w:szCs w:val="14"/>
          <w:bdr w:val="none" w:color="auto" w:sz="0" w:space="0"/>
          <w:shd w:val="clear" w:fill="FFFFFF"/>
          <w:vertAlign w:val="baseline"/>
          <w:lang w:val="en-US" w:eastAsia="zh-CN" w:bidi="ar"/>
        </w:rPr>
        <w:t>作者：yjsb 发布时间：2023-04-12 点击数：949</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begin"/>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instrText xml:space="preserve"> HYPERLINK "javascript:window.print()" </w:instrTex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separate"/>
      </w:r>
      <w:r>
        <w:rPr>
          <w:rStyle w:val="6"/>
          <w:rFonts w:hint="default" w:ascii="sans-serif" w:hAnsi="sans-serif" w:eastAsia="sans-serif" w:cs="sans-serif"/>
          <w:i w:val="0"/>
          <w:iCs w:val="0"/>
          <w:caps w:val="0"/>
          <w:spacing w:val="0"/>
          <w:sz w:val="14"/>
          <w:szCs w:val="14"/>
          <w:u w:val="none"/>
          <w:bdr w:val="none" w:color="auto" w:sz="0" w:space="0"/>
          <w:shd w:val="clear" w:fill="FFFFFF"/>
          <w:vertAlign w:val="baseline"/>
        </w:rPr>
        <w:t>打印</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end"/>
      </w:r>
      <w:r>
        <w:rPr>
          <w:rFonts w:hint="default" w:ascii="sans-serif" w:hAnsi="sans-serif" w:eastAsia="sans-serif" w:cs="sans-serif"/>
          <w:i w:val="0"/>
          <w:iCs w:val="0"/>
          <w:caps w:val="0"/>
          <w:color w:val="888888"/>
          <w:spacing w:val="0"/>
          <w:kern w:val="0"/>
          <w:sz w:val="14"/>
          <w:szCs w:val="14"/>
          <w:bdr w:val="none" w:color="auto" w:sz="0" w:space="0"/>
          <w:shd w:val="clear" w:fill="FFFFFF"/>
          <w:vertAlign w:val="baseline"/>
          <w:lang w:val="en-US" w:eastAsia="zh-CN" w:bidi="ar"/>
        </w:rPr>
        <w:t>字体【</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begin"/>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instrText xml:space="preserve"> HYPERLINK "javascript:void(0);" </w:instrTex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separate"/>
      </w:r>
      <w:r>
        <w:rPr>
          <w:rStyle w:val="6"/>
          <w:rFonts w:hint="default" w:ascii="sans-serif" w:hAnsi="sans-serif" w:eastAsia="sans-serif" w:cs="sans-serif"/>
          <w:i w:val="0"/>
          <w:iCs w:val="0"/>
          <w:caps w:val="0"/>
          <w:spacing w:val="0"/>
          <w:sz w:val="14"/>
          <w:szCs w:val="14"/>
          <w:u w:val="none"/>
          <w:bdr w:val="none" w:color="auto" w:sz="0" w:space="0"/>
          <w:shd w:val="clear" w:fill="FFFFFF"/>
          <w:vertAlign w:val="baseline"/>
        </w:rPr>
        <w:t>大</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end"/>
      </w:r>
      <w:r>
        <w:rPr>
          <w:rFonts w:hint="default" w:ascii="sans-serif" w:hAnsi="sans-serif" w:eastAsia="sans-serif" w:cs="sans-serif"/>
          <w:i w:val="0"/>
          <w:iCs w:val="0"/>
          <w:caps w:val="0"/>
          <w:color w:val="888888"/>
          <w:spacing w:val="0"/>
          <w:kern w:val="0"/>
          <w:sz w:val="14"/>
          <w:szCs w:val="14"/>
          <w:bdr w:val="none" w:color="auto" w:sz="0" w:space="0"/>
          <w:shd w:val="clear" w:fill="FFFFFF"/>
          <w:vertAlign w:val="baseline"/>
          <w:lang w:val="en-US" w:eastAsia="zh-CN" w:bidi="ar"/>
        </w:rPr>
        <w:t> </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begin"/>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instrText xml:space="preserve"> HYPERLINK "javascript:void(0);" </w:instrTex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separate"/>
      </w:r>
      <w:r>
        <w:rPr>
          <w:rStyle w:val="6"/>
          <w:rFonts w:hint="default" w:ascii="sans-serif" w:hAnsi="sans-serif" w:eastAsia="sans-serif" w:cs="sans-serif"/>
          <w:i w:val="0"/>
          <w:iCs w:val="0"/>
          <w:caps w:val="0"/>
          <w:spacing w:val="0"/>
          <w:sz w:val="14"/>
          <w:szCs w:val="14"/>
          <w:u w:val="none"/>
          <w:bdr w:val="none" w:color="auto" w:sz="0" w:space="0"/>
          <w:shd w:val="clear" w:fill="FFFFFF"/>
          <w:vertAlign w:val="baseline"/>
        </w:rPr>
        <w:t>中</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end"/>
      </w:r>
      <w:r>
        <w:rPr>
          <w:rFonts w:hint="default" w:ascii="sans-serif" w:hAnsi="sans-serif" w:eastAsia="sans-serif" w:cs="sans-serif"/>
          <w:i w:val="0"/>
          <w:iCs w:val="0"/>
          <w:caps w:val="0"/>
          <w:color w:val="888888"/>
          <w:spacing w:val="0"/>
          <w:kern w:val="0"/>
          <w:sz w:val="14"/>
          <w:szCs w:val="14"/>
          <w:bdr w:val="none" w:color="auto" w:sz="0" w:space="0"/>
          <w:shd w:val="clear" w:fill="FFFFFF"/>
          <w:vertAlign w:val="baseline"/>
          <w:lang w:val="en-US" w:eastAsia="zh-CN" w:bidi="ar"/>
        </w:rPr>
        <w:t> </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begin"/>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instrText xml:space="preserve"> HYPERLINK "javascript:void(0);" </w:instrTex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separate"/>
      </w:r>
      <w:r>
        <w:rPr>
          <w:rStyle w:val="6"/>
          <w:rFonts w:hint="default" w:ascii="sans-serif" w:hAnsi="sans-serif" w:eastAsia="sans-serif" w:cs="sans-serif"/>
          <w:i w:val="0"/>
          <w:iCs w:val="0"/>
          <w:caps w:val="0"/>
          <w:spacing w:val="0"/>
          <w:sz w:val="14"/>
          <w:szCs w:val="14"/>
          <w:u w:val="none"/>
          <w:bdr w:val="none" w:color="auto" w:sz="0" w:space="0"/>
          <w:shd w:val="clear" w:fill="FFFFFF"/>
          <w:vertAlign w:val="baseline"/>
        </w:rPr>
        <w:t>小</w:t>
      </w:r>
      <w:r>
        <w:rPr>
          <w:rFonts w:hint="default" w:ascii="sans-serif" w:hAnsi="sans-serif" w:eastAsia="sans-serif" w:cs="sans-serif"/>
          <w:i w:val="0"/>
          <w:iCs w:val="0"/>
          <w:caps w:val="0"/>
          <w:spacing w:val="0"/>
          <w:kern w:val="0"/>
          <w:sz w:val="14"/>
          <w:szCs w:val="14"/>
          <w:u w:val="none"/>
          <w:bdr w:val="none" w:color="auto" w:sz="0" w:space="0"/>
          <w:shd w:val="clear" w:fill="FFFFFF"/>
          <w:vertAlign w:val="baseline"/>
          <w:lang w:val="en-US" w:eastAsia="zh-CN" w:bidi="ar"/>
        </w:rPr>
        <w:fldChar w:fldCharType="end"/>
      </w:r>
      <w:r>
        <w:rPr>
          <w:rFonts w:hint="default" w:ascii="sans-serif" w:hAnsi="sans-serif" w:eastAsia="sans-serif" w:cs="sans-serif"/>
          <w:i w:val="0"/>
          <w:iCs w:val="0"/>
          <w:caps w:val="0"/>
          <w:color w:val="888888"/>
          <w:spacing w:val="0"/>
          <w:kern w:val="0"/>
          <w:sz w:val="14"/>
          <w:szCs w:val="14"/>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100" w:beforeAutospacing="0" w:after="300" w:afterAutospacing="0"/>
        <w:ind w:left="0" w:right="0" w:firstLine="0"/>
        <w:jc w:val="left"/>
        <w:rPr>
          <w:rFonts w:hint="default" w:ascii="sans-serif" w:hAnsi="sans-serif" w:eastAsia="sans-serif" w:cs="sans-serif"/>
          <w:i w:val="0"/>
          <w:iCs w:val="0"/>
          <w:caps w:val="0"/>
          <w:color w:val="EBEBEB"/>
          <w:spacing w:val="0"/>
          <w:sz w:val="14"/>
          <w:szCs w:val="14"/>
        </w:rPr>
      </w:pPr>
      <w:r>
        <w:rPr>
          <w:rFonts w:hint="default" w:ascii="sans-serif" w:hAnsi="sans-serif" w:eastAsia="sans-serif" w:cs="sans-serif"/>
          <w:i w:val="0"/>
          <w:iCs w:val="0"/>
          <w:caps w:val="0"/>
          <w:color w:val="888888"/>
          <w:spacing w:val="0"/>
          <w:sz w:val="14"/>
          <w:szCs w:val="14"/>
        </w:rPr>
        <w:pict>
          <v:rect id="_x0000_i1025" o:spt="1" style="height:1.5pt;width:520pt;" fillcolor="#EBEBEB" filled="t" stroked="f" coordsize="21600,21600" o:hr="t" o:hrstd="t" o:hrnoshade="t" o:hrpct="0"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0" w:right="0" w:firstLine="370"/>
        <w:jc w:val="both"/>
        <w:textAlignment w:val="baseline"/>
        <w:rPr>
          <w:rFonts w:ascii="Calibri" w:hAnsi="Calibri" w:cs="Calibri"/>
          <w:color w:val="757575"/>
          <w:sz w:val="14"/>
          <w:szCs w:val="14"/>
        </w:rPr>
      </w:pPr>
      <w:r>
        <w:rPr>
          <w:rFonts w:ascii="仿宋" w:hAnsi="仿宋" w:eastAsia="仿宋" w:cs="仿宋"/>
          <w:i w:val="0"/>
          <w:iCs w:val="0"/>
          <w:caps w:val="0"/>
          <w:color w:val="757575"/>
          <w:spacing w:val="0"/>
          <w:sz w:val="19"/>
          <w:szCs w:val="19"/>
          <w:bdr w:val="none" w:color="auto" w:sz="0" w:space="0"/>
          <w:shd w:val="clear" w:fill="FFFFFF"/>
          <w:vertAlign w:val="baseline"/>
        </w:rPr>
        <w:t>根据校发文件《吉林大学</w:t>
      </w:r>
      <w:r>
        <w:rPr>
          <w:rFonts w:hint="eastAsia" w:ascii="仿宋" w:hAnsi="仿宋" w:eastAsia="仿宋" w:cs="仿宋"/>
          <w:i w:val="0"/>
          <w:iCs w:val="0"/>
          <w:caps w:val="0"/>
          <w:color w:val="757575"/>
          <w:spacing w:val="0"/>
          <w:sz w:val="19"/>
          <w:szCs w:val="19"/>
          <w:bdr w:val="none" w:color="auto" w:sz="0" w:space="0"/>
          <w:shd w:val="clear" w:fill="FFFFFF"/>
          <w:vertAlign w:val="baseline"/>
        </w:rPr>
        <w:t>2023年硕士研究生招生调剂办法》精神及相关要求，我院制定2023年硕士研究生招生调剂办法如下：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1. 临床医学专业学位各专业调剂考生仅在院内复试合格生源中进行调剂录取，不再进行调剂复试。学术型各专业调剂考生仅在校内合格生源中进行调剂录取。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2. 调剂考生必须符合我校招生章程及招生专业目录中规定的调入专业的报考条件和《吉林大学白求恩第一临床医学院 2023年硕士研究生复试工作细则》中调剂要求。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3. 学术型调剂考生必须符合全国初试成绩基本要求（A类考生）、所报第一志愿专业的吉林大学初试成绩基本要求以及调入专业的初试成绩基本要求。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4. 学术型调剂考生的调入专业与第一志愿报考专业相同或相近，应在同一学科门类范围内。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5. 学术型考生确定拟录取名单时，根据总成绩排序，对于总成绩相同的考生，依次比较面试、初试专业课、初试政治理论，按专业名额从高分至低分录取。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6. 无考生的导师，可参与调剂，每位导师调剂名额上限为1个。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7. 学术型调剂复试具体时间及安排另行通知。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8. 考生填报调剂志愿时，只允许填报我院一个专业，不允许填报我院多个志愿。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9. 具体专业及名额见附件1。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10. 所有调剂考生必须通过教育部指定的“全国硕士生招生调剂服务系统”（网址http://yz.chsi.com.cn）进行，我院将于4月13日11:00至23:00开放调剂系统，请本次拟调剂考生准时登陆系统填报，逾期将不予补报，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firstLine="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jc w:val="left"/>
        <w:textAlignment w:val="baseline"/>
        <w:rPr>
          <w:color w:val="757575"/>
          <w:sz w:val="16"/>
          <w:szCs w:val="16"/>
        </w:rPr>
      </w:pPr>
      <w:r>
        <w:rPr>
          <w:rFonts w:hint="default" w:ascii="sans-serif" w:hAnsi="sans-serif" w:eastAsia="sans-serif" w:cs="sans-serif"/>
          <w:i w:val="0"/>
          <w:iCs w:val="0"/>
          <w:caps w:val="0"/>
          <w:color w:val="757575"/>
          <w:spacing w:val="0"/>
          <w:sz w:val="16"/>
          <w:szCs w:val="16"/>
          <w:bdr w:val="none" w:color="auto" w:sz="0" w:space="0"/>
          <w:shd w:val="clear" w:fill="FFFFFF"/>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sans-serif" w:hAnsi="sans-serif" w:eastAsia="sans-serif" w:cs="sans-serif"/>
          <w:i w:val="0"/>
          <w:iCs w:val="0"/>
          <w:caps w:val="0"/>
          <w:color w:val="0066CC"/>
          <w:spacing w:val="0"/>
          <w:sz w:val="12"/>
          <w:szCs w:val="12"/>
          <w:u w:val="none"/>
          <w:bdr w:val="none" w:color="auto" w:sz="0" w:space="0"/>
          <w:shd w:val="clear" w:fill="FFFFFF"/>
          <w:vertAlign w:val="baseline"/>
        </w:rPr>
        <w:fldChar w:fldCharType="begin"/>
      </w:r>
      <w:r>
        <w:rPr>
          <w:rFonts w:hint="default" w:ascii="sans-serif" w:hAnsi="sans-serif" w:eastAsia="sans-serif" w:cs="sans-serif"/>
          <w:i w:val="0"/>
          <w:iCs w:val="0"/>
          <w:caps w:val="0"/>
          <w:color w:val="0066CC"/>
          <w:spacing w:val="0"/>
          <w:sz w:val="12"/>
          <w:szCs w:val="12"/>
          <w:u w:val="none"/>
          <w:bdr w:val="none" w:color="auto" w:sz="0" w:space="0"/>
          <w:shd w:val="clear" w:fill="FFFFFF"/>
          <w:vertAlign w:val="baseline"/>
        </w:rPr>
        <w:instrText xml:space="preserve"> HYPERLINK "https://www.jdyy.cn/uploads/allimg/20230412/11-2304121316354F.xlsx" \o "附件1调剂专业及名额.xlsx" </w:instrText>
      </w:r>
      <w:r>
        <w:rPr>
          <w:rFonts w:hint="default" w:ascii="sans-serif" w:hAnsi="sans-serif" w:eastAsia="sans-serif" w:cs="sans-serif"/>
          <w:i w:val="0"/>
          <w:iCs w:val="0"/>
          <w:caps w:val="0"/>
          <w:color w:val="0066CC"/>
          <w:spacing w:val="0"/>
          <w:sz w:val="12"/>
          <w:szCs w:val="12"/>
          <w:u w:val="none"/>
          <w:bdr w:val="none" w:color="auto" w:sz="0" w:space="0"/>
          <w:shd w:val="clear" w:fill="FFFFFF"/>
          <w:vertAlign w:val="baseline"/>
        </w:rPr>
        <w:fldChar w:fldCharType="separate"/>
      </w:r>
      <w:r>
        <w:rPr>
          <w:rStyle w:val="6"/>
          <w:rFonts w:hint="default" w:ascii="sans-serif" w:hAnsi="sans-serif" w:eastAsia="sans-serif" w:cs="sans-serif"/>
          <w:i w:val="0"/>
          <w:iCs w:val="0"/>
          <w:caps w:val="0"/>
          <w:color w:val="0066CC"/>
          <w:spacing w:val="0"/>
          <w:sz w:val="12"/>
          <w:szCs w:val="12"/>
          <w:u w:val="none"/>
          <w:bdr w:val="none" w:color="auto" w:sz="0" w:space="0"/>
          <w:shd w:val="clear" w:fill="FFFFFF"/>
          <w:vertAlign w:val="baseline"/>
        </w:rPr>
        <w:t>附件1调剂专业及名额.xlsx</w:t>
      </w:r>
      <w:r>
        <w:rPr>
          <w:rFonts w:hint="default" w:ascii="sans-serif" w:hAnsi="sans-serif" w:eastAsia="sans-serif" w:cs="sans-serif"/>
          <w:i w:val="0"/>
          <w:iCs w:val="0"/>
          <w:caps w:val="0"/>
          <w:color w:val="0066CC"/>
          <w:spacing w:val="0"/>
          <w:sz w:val="12"/>
          <w:szCs w:val="12"/>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firstLine="0"/>
        <w:jc w:val="left"/>
        <w:textAlignment w:val="baseline"/>
        <w:rPr>
          <w:color w:val="757575"/>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firstLine="0"/>
        <w:jc w:val="lef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firstLine="0"/>
        <w:jc w:val="righ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教学部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80" w:lineRule="atLeast"/>
        <w:ind w:left="280" w:right="0" w:firstLine="0"/>
        <w:jc w:val="right"/>
        <w:textAlignment w:val="baseline"/>
        <w:rPr>
          <w:color w:val="757575"/>
          <w:sz w:val="27"/>
          <w:szCs w:val="27"/>
        </w:rPr>
      </w:pPr>
      <w:r>
        <w:rPr>
          <w:rFonts w:hint="eastAsia" w:ascii="仿宋" w:hAnsi="仿宋" w:eastAsia="仿宋" w:cs="仿宋"/>
          <w:i w:val="0"/>
          <w:iCs w:val="0"/>
          <w:caps w:val="0"/>
          <w:color w:val="757575"/>
          <w:spacing w:val="0"/>
          <w:sz w:val="19"/>
          <w:szCs w:val="19"/>
          <w:bdr w:val="none" w:color="auto" w:sz="0" w:space="0"/>
          <w:shd w:val="clear" w:fill="FFFFFF"/>
          <w:vertAlign w:val="baseline"/>
        </w:rPr>
        <w:t>2023年4月11日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B516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624</Words>
  <Characters>698</Characters>
  <Lines>0</Lines>
  <Paragraphs>0</Paragraphs>
  <TotalTime>0</TotalTime>
  <ScaleCrop>false</ScaleCrop>
  <LinksUpToDate>false</LinksUpToDate>
  <CharactersWithSpaces>715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2023-06-01T08:59:46Z</dcterms:created>
  <dc:creator>Administrator</dc:creator>
  <cp:lastModifiedBy>王英</cp:lastModifiedBy>
  <dcterms:modified xsi:type="dcterms:W3CDTF">2023-06-01T08:59:57Z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46A387BB33A14133AD0F4506FCD13F0E</vt:lpwstr>
  </property>
</Properties>
</file>