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0" w:afterAutospacing="0"/>
        <w:ind w:left="0" w:right="0"/>
        <w:jc w:val="center"/>
        <w:rPr>
          <w:color w:val="444444"/>
          <w:sz w:val="20"/>
          <w:szCs w:val="20"/>
        </w:rPr>
      </w:pPr>
      <w:bookmarkStart w:id="0" w:name="_GoBack"/>
      <w:r>
        <w:rPr>
          <w:color w:val="444444"/>
          <w:sz w:val="20"/>
          <w:szCs w:val="20"/>
          <w:bdr w:val="none" w:color="auto" w:sz="0" w:space="0"/>
        </w:rPr>
        <w:t>同济大学法学院2023年非全日制法律硕士调剂复试安排（第二批）</w:t>
      </w:r>
    </w:p>
    <w:bookmarkEnd w:id="0"/>
    <w:p>
      <w:pPr>
        <w:keepNext w:val="0"/>
        <w:keepLines w:val="0"/>
        <w:widowControl/>
        <w:suppressLineNumbers w:val="0"/>
        <w:pBdr>
          <w:top w:val="none" w:color="auto" w:sz="0" w:space="0"/>
          <w:left w:val="none" w:color="auto" w:sz="0" w:space="0"/>
          <w:bottom w:val="dashed" w:color="E9E8E8" w:sz="4" w:space="7"/>
          <w:right w:val="none" w:color="auto" w:sz="0" w:space="0"/>
        </w:pBdr>
        <w:spacing w:before="0" w:beforeAutospacing="0" w:after="220" w:afterAutospacing="0"/>
        <w:ind w:left="0" w:right="0"/>
        <w:jc w:val="center"/>
      </w:pPr>
      <w:r>
        <w:rPr>
          <w:rFonts w:ascii="宋体" w:hAnsi="宋体" w:eastAsia="宋体" w:cs="宋体"/>
          <w:color w:val="9E9E9E"/>
          <w:kern w:val="0"/>
          <w:sz w:val="14"/>
          <w:szCs w:val="14"/>
          <w:bdr w:val="none" w:color="auto" w:sz="0" w:space="0"/>
          <w:lang w:val="en-US" w:eastAsia="zh-CN" w:bidi="ar"/>
        </w:rPr>
        <w:t>来源： 日期：2023-04-13 15:26 点击：763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290"/>
        <w:rPr>
          <w:color w:val="444444"/>
          <w:sz w:val="14"/>
          <w:szCs w:val="14"/>
        </w:rPr>
      </w:pPr>
      <w:r>
        <w:rPr>
          <w:rFonts w:ascii="华文仿宋" w:hAnsi="华文仿宋" w:eastAsia="华文仿宋" w:cs="华文仿宋"/>
          <w:color w:val="444444"/>
          <w:spacing w:val="-10"/>
          <w:sz w:val="16"/>
          <w:szCs w:val="16"/>
          <w:bdr w:val="none" w:color="auto" w:sz="0" w:space="0"/>
        </w:rPr>
        <w:t>根据学校下达的法学院非全日制法律硕士总名额数，目前法学院非全日制法律硕士调剂名额还有法律硕士（法学）</w:t>
      </w:r>
      <w:r>
        <w:rPr>
          <w:rFonts w:hint="default" w:ascii="华文仿宋" w:hAnsi="华文仿宋" w:eastAsia="华文仿宋" w:cs="华文仿宋"/>
          <w:color w:val="444444"/>
          <w:spacing w:val="-10"/>
          <w:sz w:val="16"/>
          <w:szCs w:val="16"/>
          <w:bdr w:val="none" w:color="auto" w:sz="0" w:space="0"/>
        </w:rPr>
        <w:t>10个和法律硕士（非法学）10个。法学院按照1:2的比例，对已经在教育部调剂系统有效报名的考生按照初试成绩从高到低遴选进入复试名单，现将复试名单公布如下。请下列复试</w:t>
      </w:r>
      <w:r>
        <w:rPr>
          <w:rFonts w:hint="default" w:ascii="华文仿宋" w:hAnsi="华文仿宋" w:eastAsia="华文仿宋" w:cs="华文仿宋"/>
          <w:color w:val="000000"/>
          <w:sz w:val="16"/>
          <w:szCs w:val="16"/>
          <w:bdr w:val="none" w:color="auto" w:sz="0" w:space="0"/>
        </w:rPr>
        <w:t>名单中的同学按照同济大学法学院网站上的复试安排要求于</w:t>
      </w:r>
      <w:r>
        <w:rPr>
          <w:rStyle w:val="7"/>
          <w:rFonts w:hint="default" w:ascii="华文仿宋" w:hAnsi="华文仿宋" w:eastAsia="华文仿宋" w:cs="华文仿宋"/>
          <w:b/>
          <w:bCs/>
          <w:color w:val="000000"/>
          <w:sz w:val="16"/>
          <w:szCs w:val="16"/>
          <w:bdr w:val="none" w:color="auto" w:sz="0" w:space="0"/>
        </w:rPr>
        <w:t>4月14日上午9：00点前发送资格审查材料至我院邮箱 tjlaw@tongji.edu.cn</w:t>
      </w:r>
      <w:r>
        <w:rPr>
          <w:rFonts w:hint="default" w:ascii="华文仿宋" w:hAnsi="华文仿宋" w:eastAsia="华文仿宋" w:cs="华文仿宋"/>
          <w:color w:val="000000"/>
          <w:sz w:val="16"/>
          <w:szCs w:val="16"/>
          <w:bdr w:val="none" w:color="auto" w:sz="0" w:space="0"/>
        </w:rPr>
        <w:t>，并准时参加后续的</w:t>
      </w:r>
      <w:r>
        <w:rPr>
          <w:rStyle w:val="7"/>
          <w:rFonts w:hint="default" w:ascii="华文仿宋" w:hAnsi="华文仿宋" w:eastAsia="华文仿宋" w:cs="华文仿宋"/>
          <w:b/>
          <w:bCs/>
          <w:color w:val="000000"/>
          <w:sz w:val="16"/>
          <w:szCs w:val="16"/>
          <w:bdr w:val="none" w:color="auto" w:sz="0" w:space="0"/>
        </w:rPr>
        <w:t>设备测试、资格审查</w:t>
      </w:r>
      <w:r>
        <w:rPr>
          <w:rFonts w:hint="default" w:ascii="华文仿宋" w:hAnsi="华文仿宋" w:eastAsia="华文仿宋" w:cs="华文仿宋"/>
          <w:color w:val="000000"/>
          <w:sz w:val="16"/>
          <w:szCs w:val="16"/>
          <w:bdr w:val="none" w:color="auto" w:sz="0" w:space="0"/>
        </w:rPr>
        <w:t>和</w:t>
      </w:r>
      <w:r>
        <w:rPr>
          <w:rStyle w:val="7"/>
          <w:rFonts w:hint="default" w:ascii="华文仿宋" w:hAnsi="华文仿宋" w:eastAsia="华文仿宋" w:cs="华文仿宋"/>
          <w:b/>
          <w:bCs/>
          <w:color w:val="000000"/>
          <w:sz w:val="16"/>
          <w:szCs w:val="16"/>
          <w:bdr w:val="none" w:color="auto" w:sz="0" w:space="0"/>
        </w:rPr>
        <w:t>复试</w:t>
      </w:r>
      <w:r>
        <w:rPr>
          <w:rFonts w:hint="default" w:ascii="华文仿宋" w:hAnsi="华文仿宋" w:eastAsia="华文仿宋" w:cs="华文仿宋"/>
          <w:color w:val="000000"/>
          <w:sz w:val="16"/>
          <w:szCs w:val="16"/>
          <w:bdr w:val="none" w:color="auto" w:sz="0" w:space="0"/>
        </w:rPr>
        <w:t>。设备测试、资格审查和复试采用腾讯平台双机位线上进行。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280" w:lineRule="atLeast"/>
        <w:ind w:left="0" w:right="0" w:firstLine="320"/>
        <w:jc w:val="left"/>
        <w:rPr>
          <w:color w:val="444444"/>
          <w:sz w:val="14"/>
          <w:szCs w:val="14"/>
        </w:rPr>
      </w:pPr>
      <w:r>
        <w:rPr>
          <w:rFonts w:hint="default" w:ascii="华文仿宋" w:hAnsi="华文仿宋" w:eastAsia="华文仿宋" w:cs="华文仿宋"/>
          <w:color w:val="000000"/>
          <w:sz w:val="16"/>
          <w:szCs w:val="16"/>
          <w:bdr w:val="none" w:color="auto" w:sz="0" w:space="0"/>
          <w:shd w:val="clear" w:fill="FFFFFF"/>
        </w:rPr>
        <w:t>法学院2023年4月15日复试名单如下：</w:t>
      </w:r>
    </w:p>
    <w:tbl>
      <w:tblPr>
        <w:tblW w:w="491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80"/>
        <w:gridCol w:w="780"/>
        <w:gridCol w:w="920"/>
        <w:gridCol w:w="1470"/>
        <w:gridCol w:w="740"/>
        <w:gridCol w:w="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color w:val="444444"/>
                <w:sz w:val="14"/>
                <w:szCs w:val="14"/>
              </w:rPr>
            </w:pPr>
            <w:r>
              <w:rPr>
                <w:rStyle w:val="7"/>
                <w:rFonts w:hint="eastAsia" w:ascii="宋体" w:hAnsi="宋体" w:eastAsia="宋体" w:cs="宋体"/>
                <w:b/>
                <w:bCs/>
                <w:color w:val="444444"/>
                <w:sz w:val="14"/>
                <w:szCs w:val="14"/>
                <w:bdr w:val="none" w:color="auto" w:sz="0" w:space="0"/>
              </w:rPr>
              <w:t>序号</w:t>
            </w:r>
          </w:p>
        </w:tc>
        <w:tc>
          <w:tcPr>
            <w:tcW w:w="7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color w:val="444444"/>
                <w:sz w:val="14"/>
                <w:szCs w:val="14"/>
              </w:rPr>
            </w:pPr>
            <w:r>
              <w:rPr>
                <w:rStyle w:val="7"/>
                <w:rFonts w:hint="eastAsia" w:ascii="宋体" w:hAnsi="宋体" w:eastAsia="宋体" w:cs="宋体"/>
                <w:b/>
                <w:bCs/>
                <w:color w:val="444444"/>
                <w:sz w:val="14"/>
                <w:szCs w:val="14"/>
                <w:bdr w:val="none" w:color="auto" w:sz="0" w:space="0"/>
              </w:rPr>
              <w:t>考生姓名</w:t>
            </w:r>
          </w:p>
        </w:tc>
        <w:tc>
          <w:tcPr>
            <w:tcW w:w="9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color w:val="444444"/>
                <w:sz w:val="14"/>
                <w:szCs w:val="14"/>
              </w:rPr>
            </w:pPr>
            <w:r>
              <w:rPr>
                <w:rStyle w:val="7"/>
                <w:rFonts w:hint="eastAsia" w:ascii="宋体" w:hAnsi="宋体" w:eastAsia="宋体" w:cs="宋体"/>
                <w:b/>
                <w:bCs/>
                <w:color w:val="444444"/>
                <w:sz w:val="14"/>
                <w:szCs w:val="14"/>
                <w:bdr w:val="none" w:color="auto" w:sz="0" w:space="0"/>
              </w:rPr>
              <w:t>准考证号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color w:val="444444"/>
                <w:sz w:val="14"/>
                <w:szCs w:val="14"/>
              </w:rPr>
            </w:pPr>
            <w:r>
              <w:rPr>
                <w:rStyle w:val="7"/>
                <w:rFonts w:hint="eastAsia" w:ascii="宋体" w:hAnsi="宋体" w:eastAsia="宋体" w:cs="宋体"/>
                <w:b/>
                <w:bCs/>
                <w:color w:val="444444"/>
                <w:sz w:val="14"/>
                <w:szCs w:val="14"/>
                <w:bdr w:val="none" w:color="auto" w:sz="0" w:space="0"/>
              </w:rPr>
              <w:t>后六位</w:t>
            </w:r>
          </w:p>
        </w:tc>
        <w:tc>
          <w:tcPr>
            <w:tcW w:w="14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color w:val="444444"/>
                <w:sz w:val="14"/>
                <w:szCs w:val="14"/>
              </w:rPr>
            </w:pPr>
            <w:r>
              <w:rPr>
                <w:rStyle w:val="7"/>
                <w:rFonts w:hint="eastAsia" w:ascii="宋体" w:hAnsi="宋体" w:eastAsia="宋体" w:cs="宋体"/>
                <w:b/>
                <w:bCs/>
                <w:color w:val="444444"/>
                <w:sz w:val="14"/>
                <w:szCs w:val="14"/>
                <w:bdr w:val="none" w:color="auto" w:sz="0" w:space="0"/>
              </w:rPr>
              <w:t>报考专业</w:t>
            </w:r>
          </w:p>
        </w:tc>
        <w:tc>
          <w:tcPr>
            <w:tcW w:w="79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color w:val="444444"/>
                <w:sz w:val="14"/>
                <w:szCs w:val="14"/>
              </w:rPr>
            </w:pPr>
            <w:r>
              <w:rPr>
                <w:rStyle w:val="7"/>
                <w:rFonts w:hint="eastAsia" w:ascii="宋体" w:hAnsi="宋体" w:eastAsia="宋体" w:cs="宋体"/>
                <w:b/>
                <w:bCs/>
                <w:color w:val="444444"/>
                <w:sz w:val="14"/>
                <w:szCs w:val="14"/>
                <w:bdr w:val="none" w:color="auto" w:sz="0" w:space="0"/>
              </w:rPr>
              <w:t>学习方式</w:t>
            </w:r>
          </w:p>
        </w:tc>
        <w:tc>
          <w:tcPr>
            <w:tcW w:w="6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color w:val="444444"/>
                <w:sz w:val="14"/>
                <w:szCs w:val="14"/>
              </w:rPr>
            </w:pPr>
            <w:r>
              <w:rPr>
                <w:rStyle w:val="7"/>
                <w:rFonts w:hint="eastAsia" w:ascii="宋体" w:hAnsi="宋体" w:eastAsia="宋体" w:cs="宋体"/>
                <w:b/>
                <w:bCs/>
                <w:color w:val="444444"/>
                <w:sz w:val="14"/>
                <w:szCs w:val="14"/>
                <w:bdr w:val="none" w:color="auto" w:sz="0" w:space="0"/>
              </w:rPr>
              <w:t>初试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color w:val="444444"/>
                <w:sz w:val="14"/>
                <w:szCs w:val="14"/>
              </w:rPr>
            </w:pPr>
            <w:r>
              <w:rPr>
                <w:rStyle w:val="7"/>
                <w:rFonts w:hint="eastAsia" w:ascii="宋体" w:hAnsi="宋体" w:eastAsia="宋体" w:cs="宋体"/>
                <w:b/>
                <w:bCs/>
                <w:color w:val="444444"/>
                <w:sz w:val="14"/>
                <w:szCs w:val="14"/>
                <w:bdr w:val="none" w:color="auto" w:sz="0" w:space="0"/>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贾琳</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290832</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王家新</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292479</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石函杰</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001572</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4</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石文涛</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310967</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5</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马邦雪</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241965</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6</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闵媚</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103423</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7</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张笑嫣</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020243</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8</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林碧锋</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104730</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9</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袁婧</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007386</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10</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刘宝信</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103601</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11</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伍菾</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911455</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12</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朱泽鹏</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900746</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13</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赵冰洋</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608670</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14</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翟英杰</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607363</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15</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黄焱</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611749</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16</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吴天浩</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123239</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17</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刘其瑶</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241356</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18</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覃加文</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293192</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19</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杨雪松</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290576</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20</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张文涵</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105873</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10" w:hRule="atLeast"/>
          <w:tblCellSpacing w:w="0" w:type="dxa"/>
          <w:jc w:val="center"/>
        </w:trPr>
        <w:tc>
          <w:tcPr>
            <w:tcW w:w="4910" w:type="dxa"/>
            <w:gridSpan w:val="6"/>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21</w:t>
            </w:r>
          </w:p>
        </w:tc>
        <w:tc>
          <w:tcPr>
            <w:tcW w:w="760" w:type="dxa"/>
            <w:tcBorders>
              <w:top w:val="single" w:color="auto" w:sz="4" w:space="0"/>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李浩然</w:t>
            </w:r>
          </w:p>
        </w:tc>
        <w:tc>
          <w:tcPr>
            <w:tcW w:w="900" w:type="dxa"/>
            <w:tcBorders>
              <w:top w:val="single" w:color="auto" w:sz="4" w:space="0"/>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118083</w:t>
            </w:r>
          </w:p>
        </w:tc>
        <w:tc>
          <w:tcPr>
            <w:tcW w:w="14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single" w:color="auto" w:sz="4" w:space="0"/>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22</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孙凯文</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931794</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23</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李淳</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911844</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24</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刘小碟</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106414</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25</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朱凇仪</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240148</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26</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胡笠</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124085</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27</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郭姚健</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105027</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28</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袁梦梦</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317671</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29</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罗波</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404093</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30</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李燈辉</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106747</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31</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罗芊</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100257</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32</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陈娜</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125175</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33</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姜贺年</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107524</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34</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吴晓莉</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115706</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35</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吴征</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002228</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36</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杨敬淳</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108201</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37</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滕雪</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000731</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38</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刘雅妮</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427364</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39</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徐昱芃</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502227</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blCellSpacing w:w="0" w:type="dxa"/>
          <w:jc w:val="center"/>
        </w:trPr>
        <w:tc>
          <w:tcPr>
            <w:tcW w:w="3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color w:val="000000"/>
                <w:sz w:val="14"/>
                <w:szCs w:val="14"/>
                <w:bdr w:val="none" w:color="auto" w:sz="0" w:space="0"/>
              </w:rPr>
              <w:t>40</w:t>
            </w:r>
          </w:p>
        </w:tc>
        <w:tc>
          <w:tcPr>
            <w:tcW w:w="76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李航宇</w:t>
            </w:r>
          </w:p>
        </w:tc>
        <w:tc>
          <w:tcPr>
            <w:tcW w:w="90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610231</w:t>
            </w:r>
          </w:p>
        </w:tc>
        <w:tc>
          <w:tcPr>
            <w:tcW w:w="1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法律(非法学)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非全日制</w:t>
            </w:r>
          </w:p>
        </w:tc>
        <w:tc>
          <w:tcPr>
            <w:tcW w:w="62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textAlignment w:val="center"/>
              <w:rPr>
                <w:color w:val="444444"/>
                <w:sz w:val="14"/>
                <w:szCs w:val="14"/>
              </w:rPr>
            </w:pPr>
            <w:r>
              <w:rPr>
                <w:rFonts w:hint="eastAsia" w:ascii="宋体" w:hAnsi="宋体" w:eastAsia="宋体" w:cs="宋体"/>
                <w:b w:val="0"/>
                <w:bCs w:val="0"/>
                <w:i w:val="0"/>
                <w:iCs w:val="0"/>
                <w:color w:val="000000"/>
                <w:sz w:val="14"/>
                <w:szCs w:val="14"/>
                <w:bdr w:val="none" w:color="auto" w:sz="0" w:space="0"/>
              </w:rPr>
              <w:t>347</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rPr>
          <w:color w:val="444444"/>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pPr>
      <w:r>
        <w:rPr>
          <w:rStyle w:val="7"/>
          <w:rFonts w:ascii="微软雅黑" w:hAnsi="微软雅黑" w:eastAsia="微软雅黑" w:cs="微软雅黑"/>
          <w:b/>
          <w:bCs/>
          <w:sz w:val="16"/>
          <w:szCs w:val="16"/>
          <w:bdr w:val="none" w:color="auto" w:sz="0" w:space="0"/>
        </w:rPr>
        <w:t>一</w:t>
      </w:r>
      <w:r>
        <w:rPr>
          <w:rStyle w:val="7"/>
          <w:rFonts w:hint="eastAsia" w:ascii="微软雅黑" w:hAnsi="微软雅黑" w:eastAsia="微软雅黑" w:cs="微软雅黑"/>
          <w:b/>
          <w:bCs/>
          <w:sz w:val="16"/>
          <w:szCs w:val="16"/>
          <w:bdr w:val="none" w:color="auto" w:sz="0" w:space="0"/>
        </w:rPr>
        <w:t>、复试安排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290" w:lineRule="atLeast"/>
        <w:ind w:left="0" w:right="0" w:firstLine="290"/>
        <w:rPr>
          <w:color w:val="444444"/>
          <w:sz w:val="14"/>
          <w:szCs w:val="14"/>
        </w:rPr>
      </w:pPr>
      <w:r>
        <w:rPr>
          <w:rStyle w:val="7"/>
          <w:rFonts w:hint="default" w:ascii="华文仿宋" w:hAnsi="华文仿宋" w:eastAsia="华文仿宋" w:cs="华文仿宋"/>
          <w:b/>
          <w:bCs/>
          <w:color w:val="444444"/>
          <w:spacing w:val="-10"/>
          <w:sz w:val="16"/>
          <w:szCs w:val="16"/>
          <w:bdr w:val="none" w:color="auto" w:sz="0" w:space="0"/>
        </w:rPr>
        <w:t>（一）复试所需材料：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1. 有效居民身份证件。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2. 准考证（中国研究生招生网下载）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3．2023年全国硕士研究生招生考试成绩单。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20"/>
        <w:rPr>
          <w:color w:val="444444"/>
          <w:sz w:val="14"/>
          <w:szCs w:val="14"/>
        </w:rPr>
      </w:pPr>
      <w:r>
        <w:rPr>
          <w:rFonts w:hint="default" w:ascii="华文仿宋" w:hAnsi="华文仿宋" w:eastAsia="华文仿宋" w:cs="华文仿宋"/>
          <w:color w:val="444444"/>
          <w:sz w:val="16"/>
          <w:szCs w:val="16"/>
          <w:bdr w:val="none" w:color="auto" w:sz="0" w:space="0"/>
        </w:rPr>
        <w:t>4. 本科毕业证书原件，</w:t>
      </w:r>
      <w:r>
        <w:rPr>
          <w:rFonts w:hint="default" w:ascii="华文仿宋" w:hAnsi="华文仿宋" w:eastAsia="华文仿宋" w:cs="华文仿宋"/>
          <w:color w:val="444444"/>
          <w:spacing w:val="-10"/>
          <w:sz w:val="16"/>
          <w:szCs w:val="16"/>
          <w:bdr w:val="none" w:color="auto" w:sz="0" w:space="0"/>
        </w:rPr>
        <w:t>或学信网下载的《教育部学历证书电子注册备案表》。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5. 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6. 大学期间的成绩单原件（须盖校级公章）。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7. 外语水平证明（如：大学英语四六级、托福、雅思等成绩单）。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8. 科研成果、获奖证书等证明个人培养潜力的材料（如有）。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9.一页个人简历WORD（内容应包含考生姓名、二寸照片、本科学校及专业、外语水平、学习工作经历、学术成果、学位论文题目、研究兴趣等）。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提交电子版材料：考生须于2023年4月14日上午9:00前将复试所需材料压缩后发送至邮箱：tjlaw@tongji.edu.cn，邮件命名格式:“2023年调剂+报考专业+姓名+复试材料”。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1）材料1有效居民身份证件须包含身份证正、反两面。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2）材料1-8须按顺序合并成一个PDF文档，PDF文档命名格式：材料1-8报考专业+考生姓名。考生如无法提供材料8可不提交。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3）材料9作为附件之一的文档。（文档命名格式：材料9报考专业+考生姓名）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4）邮件正文明确“考生xxx承诺邮件提交材料全部属实，如有虚假愿意承担相应责任。”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290" w:lineRule="atLeast"/>
        <w:ind w:left="0" w:right="0" w:firstLine="290"/>
        <w:rPr>
          <w:color w:val="444444"/>
          <w:sz w:val="14"/>
          <w:szCs w:val="14"/>
        </w:rPr>
      </w:pPr>
      <w:r>
        <w:rPr>
          <w:rStyle w:val="7"/>
          <w:rFonts w:hint="default" w:ascii="华文仿宋" w:hAnsi="华文仿宋" w:eastAsia="华文仿宋" w:cs="华文仿宋"/>
          <w:b/>
          <w:bCs/>
          <w:color w:val="444444"/>
          <w:spacing w:val="-10"/>
          <w:sz w:val="16"/>
          <w:szCs w:val="16"/>
          <w:bdr w:val="none" w:color="auto" w:sz="0" w:space="0"/>
        </w:rPr>
        <w:t>（二）复试形式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本次复试采用远程网络复试形式，复试采用腾讯会议室作为网络远程复试软件平台对考生学业水平和学术潜力进行考核。学院主要通过邮件方式通知学生资格审查和测试、复试的会议号和与会密码，请各位考生及时关注邮箱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290" w:lineRule="atLeast"/>
        <w:ind w:left="0" w:right="0" w:firstLine="290"/>
        <w:rPr>
          <w:color w:val="444444"/>
          <w:sz w:val="14"/>
          <w:szCs w:val="14"/>
        </w:rPr>
      </w:pPr>
      <w:r>
        <w:rPr>
          <w:rStyle w:val="7"/>
          <w:rFonts w:hint="default" w:ascii="华文仿宋" w:hAnsi="华文仿宋" w:eastAsia="华文仿宋" w:cs="华文仿宋"/>
          <w:b/>
          <w:bCs/>
          <w:color w:val="444444"/>
          <w:spacing w:val="-10"/>
          <w:sz w:val="16"/>
          <w:szCs w:val="16"/>
          <w:bdr w:val="none" w:color="auto" w:sz="0" w:space="0"/>
        </w:rPr>
        <w:t>（三）复试时间和流程：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本次复试采用远程网络复试形式。进入并参加网络复试的考生请尽早完成腾讯会议室客户端安装，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1、网络远程复试网络设备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远程复试所需的硬件设备和网络通讯：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A.用于面试设备（主机位）：1台笔记本电脑或台式机（台式机需配摄像头、外接麦克风）。复试全程考生不得切换屏幕，需全程清晰显示考生面容以及双手位置，不得遮盖耳朵。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B.用于监控面试环境的设备（辅机位）：1部手机或笔记本电脑或pad等平板设备或台式机（须带有摄像头）。在考生侧后方1-2米处设置，需全程清晰显示考生复试环境和主镜头屏幕。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C .有线宽带网、WIFI、4G网络等两种以上网络条件。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D.独立的复试房间，可视范围内不能有任何复试相关材料，不能有其他人在场。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2、复试分组和顺序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学院将根据报考专业、考生人数进行随机分组和排序。考生的分组复试顺序将在4月14日晚上19：00前发送至各位考生的邮箱，请各位考生及时关注邮箱。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3、资格审查和网络远程设备测试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2023年4月14日下午14：00</w:t>
      </w:r>
      <w:r>
        <w:rPr>
          <w:rFonts w:hint="eastAsia" w:ascii="宋体" w:hAnsi="宋体" w:eastAsia="宋体" w:cs="宋体"/>
          <w:color w:val="444444"/>
          <w:spacing w:val="-10"/>
          <w:sz w:val="16"/>
          <w:szCs w:val="16"/>
          <w:bdr w:val="none" w:color="auto" w:sz="0" w:space="0"/>
        </w:rPr>
        <w:t>～15</w:t>
      </w:r>
      <w:r>
        <w:rPr>
          <w:rFonts w:hint="default" w:ascii="华文仿宋" w:hAnsi="华文仿宋" w:eastAsia="华文仿宋" w:cs="华文仿宋"/>
          <w:color w:val="444444"/>
          <w:spacing w:val="-10"/>
          <w:sz w:val="16"/>
          <w:szCs w:val="16"/>
          <w:bdr w:val="none" w:color="auto" w:sz="0" w:space="0"/>
        </w:rPr>
        <w:t>：00，进行资格审查和网络远程设备测试。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1）资格审查：复试考生须提前备好复试所需材料，依次从等候室进入会议室，按序展示材料：有效居民身份证件、准考证、2023年全国硕士研究生考试成绩单、学历证和签字的诚信复试承诺书。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2）网络远程复试设备测试：法学院进行考生腾讯会议室软件测试及答疑，所有考生在资格审查的同时进行一对一的平台测试。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复试分组和资格审查的会议室id号和登录密码将在4月14日上午10：00前发邮件通知各位同学，请及时关注邮件通知。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290" w:lineRule="atLeast"/>
        <w:ind w:left="0" w:right="0" w:firstLine="290"/>
        <w:rPr>
          <w:color w:val="444444"/>
          <w:sz w:val="14"/>
          <w:szCs w:val="14"/>
        </w:rPr>
      </w:pPr>
      <w:r>
        <w:rPr>
          <w:rStyle w:val="7"/>
          <w:rFonts w:hint="default" w:ascii="华文仿宋" w:hAnsi="华文仿宋" w:eastAsia="华文仿宋" w:cs="华文仿宋"/>
          <w:b/>
          <w:bCs/>
          <w:color w:val="444444"/>
          <w:spacing w:val="-10"/>
          <w:sz w:val="16"/>
          <w:szCs w:val="16"/>
          <w:bdr w:val="none" w:color="auto" w:sz="0" w:space="0"/>
        </w:rPr>
        <w:t>（四）复试内容及标准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非全日制法律硕士调剂考生的面试时间：4月15日上午9:00开始。复试所用腾讯会议室id号和登录密码将会发邮件通知各位同学，请关注邮件通知。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Style w:val="7"/>
          <w:rFonts w:hint="default" w:ascii="华文仿宋" w:hAnsi="华文仿宋" w:eastAsia="华文仿宋" w:cs="华文仿宋"/>
          <w:b/>
          <w:bCs/>
          <w:color w:val="444444"/>
          <w:spacing w:val="-10"/>
          <w:sz w:val="16"/>
          <w:szCs w:val="16"/>
          <w:bdr w:val="none" w:color="auto" w:sz="0" w:space="0"/>
        </w:rPr>
        <w:t>请进入复试的考生严格按照上述时间参加复试，逾期视为自动放弃！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1.复试考生候考与身份查验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复试技术秘书按随机顺序依次批准考生进入复试会议室复试。考生进入复试会议室后，需首先配合技术秘书做好手持身份证的拍照截屏工作，完成考生身份（报考照片、身份证照片、本人比对）和面试环境确认工作，同时按技术秘书提示做好承诺和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2.复试内容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复试以面试形式进行，内容包括专业课、综合面试。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专业课、综合面试：在复试中合并考查，考查考生思想政治素质和道德品质、法律专业知识的理解能力、专业应用能力和外语综合能力，复试小组随机提问，考生口头回答。时间一般为15分钟左右。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3.评分标准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1) 复试成绩满分为250分。（1）专业课50分;（2）外语综合能力：50 分； (3)综合面试（本科成绩及科研业绩、专业能力、培养潜力、分析和语言能力、其它素质和能力等）：150分。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2）总成绩=初试总成绩（满分值：500分）+复试总成绩（满分值：250 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3)  学院以考生总成绩的排名顺序作为拟录取依据，择优确定拟录取名单。总成绩并列的，按初试成绩择优录取。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290" w:lineRule="atLeast"/>
        <w:ind w:left="0" w:right="0" w:firstLine="320"/>
      </w:pPr>
      <w:r>
        <w:rPr>
          <w:rStyle w:val="7"/>
          <w:rFonts w:hint="eastAsia" w:ascii="微软雅黑" w:hAnsi="微软雅黑" w:eastAsia="微软雅黑" w:cs="微软雅黑"/>
          <w:b/>
          <w:bCs/>
          <w:sz w:val="16"/>
          <w:szCs w:val="16"/>
          <w:bdr w:val="none" w:color="auto" w:sz="0" w:space="0"/>
        </w:rPr>
        <w:t>二、复试结果公布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法学院将在复试后两天内在学院网站公布复试结果和不予录取的考生名单，并报研招处备案。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290" w:lineRule="atLeast"/>
        <w:ind w:left="0" w:right="0" w:firstLine="320"/>
      </w:pPr>
      <w:r>
        <w:rPr>
          <w:rStyle w:val="7"/>
          <w:rFonts w:hint="eastAsia" w:ascii="微软雅黑" w:hAnsi="微软雅黑" w:eastAsia="微软雅黑" w:cs="微软雅黑"/>
          <w:b/>
          <w:bCs/>
          <w:sz w:val="16"/>
          <w:szCs w:val="16"/>
          <w:bdr w:val="none" w:color="auto" w:sz="0" w:space="0"/>
        </w:rPr>
        <w:t>三、注意事项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Style w:val="7"/>
          <w:rFonts w:hint="default" w:ascii="华文仿宋" w:hAnsi="华文仿宋" w:eastAsia="华文仿宋" w:cs="华文仿宋"/>
          <w:b/>
          <w:bCs/>
          <w:color w:val="444444"/>
          <w:spacing w:val="-10"/>
          <w:sz w:val="16"/>
          <w:szCs w:val="16"/>
          <w:bdr w:val="none" w:color="auto" w:sz="0" w:space="0"/>
        </w:rPr>
        <w:t>（一）具有以下情形之一的不予录取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1.政审不合格者；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2.复试总成绩不及格者；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3.体检不合格者；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4.存在弄虚作假、徇私舞弊者。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Style w:val="7"/>
          <w:rFonts w:hint="default" w:ascii="华文仿宋" w:hAnsi="华文仿宋" w:eastAsia="华文仿宋" w:cs="华文仿宋"/>
          <w:b/>
          <w:bCs/>
          <w:color w:val="444444"/>
          <w:spacing w:val="-10"/>
          <w:sz w:val="16"/>
          <w:szCs w:val="16"/>
          <w:bdr w:val="none" w:color="auto" w:sz="0" w:space="0"/>
        </w:rPr>
        <w:t>（二）其他事项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1.我校非全日制法律硕士不接收应届毕业考生的调剂。报考全日制的往届生可以调剂至非全日制。非全日制考生的就业方式为定向就业，即在被录取前与招生单位、用人单位分别签订定向就业合同，人事关系和人事档案不转入同济大学，在读期间不参加上海市大学生医疗保障，学校不安排住宿，不纳入奖助体系，毕业生不纳入就业计划。其他相关政策按《同济大学2022年硕士研究生招生简章》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2.不接收“少数民族高层次骨干人才计划”和“退役大学生士兵计划”考生申请。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3.我院非全日制法律硕士的学制为 3 年，具体参照入学当年培养方案执行。学费为10.8万元/全部，按学年分期缴纳。非全日制授课方式为非脱产学习，周末上海面授。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290" w:lineRule="atLeast"/>
        <w:ind w:left="0" w:right="0" w:firstLine="320"/>
      </w:pPr>
      <w:r>
        <w:rPr>
          <w:rStyle w:val="7"/>
          <w:rFonts w:hint="eastAsia" w:ascii="微软雅黑" w:hAnsi="微软雅黑" w:eastAsia="微软雅黑" w:cs="微软雅黑"/>
          <w:b/>
          <w:bCs/>
          <w:sz w:val="16"/>
          <w:szCs w:val="16"/>
          <w:bdr w:val="none" w:color="auto" w:sz="0" w:space="0"/>
        </w:rPr>
        <w:t>四、咨询与监督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联系方式：谢老师：65983210；蒋老师：65988363；张老师：65985385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邮箱：tjlaw@tongji.edu.cn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rPr>
          <w:color w:val="444444"/>
          <w:sz w:val="14"/>
          <w:szCs w:val="14"/>
        </w:rPr>
      </w:pPr>
      <w:r>
        <w:rPr>
          <w:rFonts w:hint="default" w:ascii="华文仿宋" w:hAnsi="华文仿宋" w:eastAsia="华文仿宋" w:cs="华文仿宋"/>
          <w:color w:val="444444"/>
          <w:spacing w:val="-10"/>
          <w:sz w:val="16"/>
          <w:szCs w:val="16"/>
          <w:bdr w:val="none" w:color="auto" w:sz="0" w:space="0"/>
        </w:rPr>
        <w:t>如对我院复试录取结果或工作有异议，可先通过上述咨询电话进行申诉。如对申诉结果不认可，可向我院纪委投诉，邮箱：liuyang@tongji.edu.cn。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jc w:val="left"/>
        <w:rPr>
          <w:color w:val="444444"/>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70" w:firstLine="290"/>
        <w:jc w:val="right"/>
        <w:rPr>
          <w:color w:val="444444"/>
          <w:sz w:val="14"/>
          <w:szCs w:val="14"/>
        </w:rPr>
      </w:pPr>
      <w:r>
        <w:rPr>
          <w:rFonts w:hint="default" w:ascii="华文仿宋" w:hAnsi="华文仿宋" w:eastAsia="华文仿宋" w:cs="华文仿宋"/>
          <w:color w:val="444444"/>
          <w:spacing w:val="-10"/>
          <w:sz w:val="16"/>
          <w:szCs w:val="16"/>
          <w:bdr w:val="none" w:color="auto" w:sz="0" w:space="0"/>
        </w:rPr>
        <w:t>同济大学法学院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290"/>
        <w:jc w:val="right"/>
        <w:rPr>
          <w:color w:val="444444"/>
          <w:sz w:val="14"/>
          <w:szCs w:val="14"/>
        </w:rPr>
      </w:pPr>
      <w:r>
        <w:rPr>
          <w:rFonts w:hint="default" w:ascii="华文仿宋" w:hAnsi="华文仿宋" w:eastAsia="华文仿宋" w:cs="华文仿宋"/>
          <w:color w:val="444444"/>
          <w:spacing w:val="-10"/>
          <w:sz w:val="16"/>
          <w:szCs w:val="16"/>
          <w:bdr w:val="none" w:color="auto" w:sz="0" w:space="0"/>
        </w:rPr>
        <w:t>2023 年4月 13日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color w:val="444444"/>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2966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3165</Words>
  <Characters>3702</Characters>
  <Lines>0</Lines>
  <Paragraphs>0</Paragraphs>
  <TotalTime>0</TotalTime>
  <ScaleCrop>false</ScaleCrop>
  <LinksUpToDate>false</LinksUpToDate>
  <CharactersWithSpaces>3725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2023-04-30T03:31:40Z</dcterms:created>
  <dc:creator>Administrator</dc:creator>
  <cp:lastModifiedBy>王英</cp:lastModifiedBy>
  <dcterms:modified xsi:type="dcterms:W3CDTF">2023-04-30T03:31:51Z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28AA99B3854E43F4B7A4824118A79AB8</vt:lpwstr>
  </property>
</Properties>
</file>