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哈尔滨医科大学大庆校区2023年硕士研究生第二轮调剂结果公示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发布时间：2023-04-14 17:11:37  作者：本站编辑  来源：本站原创  浏览次数：270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一、大庆校区第二轮调剂复试合格分数线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学术学位：专业基础知识和基本理论合格线为39分，专业知识应用合格线为39分，外国语听说能力合格线为19.5分，总成绩合格线为97.5分。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专业学位：专业基础知识和基本理论合格线为39分，病例题合格线为19.5分，实践技能合格线为19.5分，外国语听说能力合格线为19.5分，总成绩合格线为97.5分。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单科及总分达不到要求者不予录取。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二、考生成绩及专业内排名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4"/>
          <w:szCs w:val="14"/>
          <w:bdr w:val="none" w:color="auto" w:sz="0" w:space="0"/>
        </w:rPr>
        <w:t>考生初试成绩、调剂复试各项得分和复试成绩、考生在本专业内总成绩(总成绩=初试总成绩+复试总成绩)排名，详见：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4"/>
          <w:szCs w:val="14"/>
          <w:bdr w:val="none" w:color="auto" w:sz="0" w:space="0"/>
        </w:rPr>
        <w:t>附件1：大庆校区202</w:t>
      </w: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3年硕士研究生第二轮调剂成绩及结果汇总表。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三、各专业招生计划数及缺额情况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 w:firstLine="37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4"/>
          <w:szCs w:val="14"/>
          <w:bdr w:val="none" w:color="auto" w:sz="0" w:space="0"/>
        </w:rPr>
        <w:t>根据学校调剂有关工作通知，各专业考生将按总成绩(总成绩=初试总成绩+复试总成绩)由高到低排名，排名在调剂计划</w:t>
      </w: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数之内者作为拟录取生源报学校审批。大庆校区各专业计划数和缺额情况如下，由于招生过程存在一定的动态变化，我校缺额情况也将随之持续更新。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4"/>
          <w:szCs w:val="14"/>
          <w:bdr w:val="none" w:color="auto" w:sz="0" w:space="0"/>
        </w:rPr>
        <w:t>表1：  大庆校区各专业第</w:t>
      </w: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二轮调剂招生计划数和缺额情况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tbl>
      <w:tblPr>
        <w:tblW w:w="64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908"/>
        <w:gridCol w:w="960"/>
        <w:gridCol w:w="1133"/>
        <w:gridCol w:w="1049"/>
        <w:gridCol w:w="820"/>
        <w:gridCol w:w="6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学院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学位类型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三级学科名称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（研究方向）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第二轮调剂计划数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缺额计划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2E2E2E"/>
                <w:sz w:val="14"/>
                <w:szCs w:val="14"/>
                <w:bdr w:val="none" w:color="auto" w:sz="0" w:space="0"/>
              </w:rPr>
              <w:t>071010  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生物化学与分子生物学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2E2E2E"/>
                <w:sz w:val="14"/>
                <w:szCs w:val="14"/>
                <w:bdr w:val="none" w:color="auto" w:sz="0" w:space="0"/>
              </w:rPr>
              <w:t>100101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人体解剖与组织胚胎学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4"/>
                <w:szCs w:val="14"/>
                <w:bdr w:val="none" w:color="auto" w:sz="0" w:space="0"/>
              </w:rPr>
              <w:t>组织学与胚胎学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2E2E2E"/>
                <w:sz w:val="14"/>
                <w:szCs w:val="14"/>
                <w:bdr w:val="none" w:color="auto" w:sz="0" w:space="0"/>
              </w:rPr>
              <w:t>100703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生药学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2E2E2E"/>
                <w:sz w:val="14"/>
                <w:szCs w:val="14"/>
                <w:bdr w:val="none" w:color="auto" w:sz="0" w:space="0"/>
              </w:rPr>
              <w:t>100706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药理学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学术学位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101000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医学技术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医学实验技术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105111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外科学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普外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大庆校区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专业学位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105400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E2E2E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E2E2E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4"/>
          <w:szCs w:val="14"/>
          <w:bdr w:val="none" w:color="auto" w:sz="0" w:space="0"/>
        </w:rPr>
        <w:t>考生如对本次调剂结果有疑义可拨打电话：0459-2796734。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jc w:val="right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哈尔滨医科大学大庆校区研究生处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350" w:lineRule="atLeast"/>
        <w:ind w:left="0" w:right="0"/>
        <w:jc w:val="right"/>
        <w:rPr>
          <w:rFonts w:hint="eastAsia" w:ascii="微软雅黑" w:hAnsi="微软雅黑" w:eastAsia="微软雅黑" w:cs="微软雅黑"/>
          <w:color w:val="2E2E2E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E2E2E"/>
          <w:spacing w:val="0"/>
          <w:sz w:val="19"/>
          <w:szCs w:val="19"/>
          <w:bdr w:val="none" w:color="auto" w:sz="0" w:space="0"/>
        </w:rPr>
        <w:t>2023年4月14日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7A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2023-05-27T01:27:48Z</dcterms:created>
  <dc:creator>Administrator</dc:creator>
  <cp:lastModifiedBy>王英</cp:lastModifiedBy>
  <dcterms:modified xsi:type="dcterms:W3CDTF">2023-05-27T01:27:55Z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9B9EAF5BE0754D8C9594C42B8C75B929</vt:lpwstr>
  </property>
</Properties>
</file>