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18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  <w:bdr w:val="none" w:color="auto" w:sz="0" w:space="0"/>
          <w:shd w:val="clear" w:fill="FFFFFF"/>
        </w:rPr>
        <w:t>航天与建筑工程学院2023年硕士研究生拟录取名单（龙江工程师学院第二次调剂）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F2FF"/>
        <w:spacing w:before="0" w:beforeAutospacing="0" w:after="0" w:afterAutospacing="0" w:line="192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6"/>
          <w:szCs w:val="16"/>
          <w:bdr w:val="none" w:color="auto" w:sz="0" w:space="0"/>
          <w:shd w:val="clear" w:fill="DFF2FF"/>
        </w:rPr>
        <w:t>时间：2023-04-19作者：文章来源：航天与建筑工程学院浏览：396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7600950" cy="3743325"/>
            <wp:effectExtent l="0" t="0" r="381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0095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9E4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2023-05-05T01:29:37Z</dcterms:created>
  <dc:creator>DELL</dc:creator>
  <cp:lastModifiedBy>曾经的那个老吴</cp:lastModifiedBy>
  <dcterms:modified xsi:type="dcterms:W3CDTF">2023-05-05T01:29:40Z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16D85FB628BB4461A550E199B6F228B0_12</vt:lpwstr>
  </property>
</Properties>
</file>