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2F6" w:rsidRPr="004342F6" w:rsidRDefault="004342F6" w:rsidP="004342F6">
      <w:pPr>
        <w:widowControl/>
        <w:spacing w:line="540" w:lineRule="atLeast"/>
        <w:jc w:val="center"/>
        <w:outlineLvl w:val="1"/>
        <w:rPr>
          <w:rFonts w:ascii="Segoe UI" w:eastAsia="宋体" w:hAnsi="Segoe UI" w:cs="Segoe UI"/>
          <w:color w:val="295EB2"/>
          <w:kern w:val="0"/>
          <w:sz w:val="45"/>
          <w:szCs w:val="45"/>
        </w:rPr>
      </w:pPr>
      <w:r w:rsidRPr="004342F6">
        <w:rPr>
          <w:rFonts w:ascii="Segoe UI" w:eastAsia="宋体" w:hAnsi="Segoe UI" w:cs="Segoe UI"/>
          <w:color w:val="295EB2"/>
          <w:kern w:val="0"/>
          <w:sz w:val="45"/>
          <w:szCs w:val="45"/>
        </w:rPr>
        <w:t>四川大学法学院</w:t>
      </w:r>
      <w:r w:rsidRPr="004342F6">
        <w:rPr>
          <w:rFonts w:ascii="Segoe UI" w:eastAsia="宋体" w:hAnsi="Segoe UI" w:cs="Segoe UI"/>
          <w:color w:val="295EB2"/>
          <w:kern w:val="0"/>
          <w:sz w:val="45"/>
          <w:szCs w:val="45"/>
        </w:rPr>
        <w:t>2023</w:t>
      </w:r>
      <w:r w:rsidRPr="004342F6">
        <w:rPr>
          <w:rFonts w:ascii="Segoe UI" w:eastAsia="宋体" w:hAnsi="Segoe UI" w:cs="Segoe UI"/>
          <w:color w:val="295EB2"/>
          <w:kern w:val="0"/>
          <w:sz w:val="45"/>
          <w:szCs w:val="45"/>
        </w:rPr>
        <w:t>年非全日制法律硕士</w:t>
      </w:r>
      <w:bookmarkStart w:id="0" w:name="_GoBack"/>
      <w:r w:rsidRPr="004342F6">
        <w:rPr>
          <w:rFonts w:ascii="Segoe UI" w:eastAsia="宋体" w:hAnsi="Segoe UI" w:cs="Segoe UI"/>
          <w:color w:val="295EB2"/>
          <w:kern w:val="0"/>
          <w:sz w:val="45"/>
          <w:szCs w:val="45"/>
        </w:rPr>
        <w:t>研究生接收调剂的通知</w:t>
      </w:r>
    </w:p>
    <w:bookmarkEnd w:id="0"/>
    <w:p w:rsidR="004342F6" w:rsidRPr="004342F6" w:rsidRDefault="004342F6" w:rsidP="004342F6">
      <w:pPr>
        <w:widowControl/>
        <w:shd w:val="clear" w:color="auto" w:fill="EFF5FE"/>
        <w:spacing w:line="570" w:lineRule="atLeast"/>
        <w:jc w:val="center"/>
        <w:rPr>
          <w:rFonts w:ascii="Segoe UI" w:eastAsia="宋体" w:hAnsi="Segoe UI" w:cs="Segoe UI"/>
          <w:color w:val="586B86"/>
          <w:kern w:val="0"/>
          <w:sz w:val="24"/>
          <w:szCs w:val="24"/>
        </w:rPr>
      </w:pPr>
      <w:r w:rsidRPr="004342F6">
        <w:rPr>
          <w:rFonts w:ascii="Segoe UI" w:eastAsia="宋体" w:hAnsi="Segoe UI" w:cs="Segoe UI"/>
          <w:color w:val="586B86"/>
          <w:kern w:val="0"/>
          <w:sz w:val="24"/>
          <w:szCs w:val="24"/>
        </w:rPr>
        <w:t>发布时间</w:t>
      </w:r>
      <w:r w:rsidRPr="004342F6">
        <w:rPr>
          <w:rFonts w:ascii="Segoe UI" w:eastAsia="宋体" w:hAnsi="Segoe UI" w:cs="Segoe UI"/>
          <w:color w:val="586B86"/>
          <w:kern w:val="0"/>
          <w:sz w:val="24"/>
          <w:szCs w:val="24"/>
        </w:rPr>
        <w:t xml:space="preserve"> </w:t>
      </w:r>
      <w:r w:rsidRPr="004342F6">
        <w:rPr>
          <w:rFonts w:ascii="Segoe UI" w:eastAsia="宋体" w:hAnsi="Segoe UI" w:cs="Segoe UI"/>
          <w:color w:val="586B86"/>
          <w:kern w:val="0"/>
          <w:sz w:val="24"/>
          <w:szCs w:val="24"/>
        </w:rPr>
        <w:t>：</w:t>
      </w:r>
      <w:r w:rsidRPr="004342F6">
        <w:rPr>
          <w:rFonts w:ascii="Segoe UI" w:eastAsia="宋体" w:hAnsi="Segoe UI" w:cs="Segoe UI"/>
          <w:color w:val="586B86"/>
          <w:kern w:val="0"/>
          <w:sz w:val="24"/>
          <w:szCs w:val="24"/>
        </w:rPr>
        <w:t>2023</w:t>
      </w:r>
      <w:r w:rsidRPr="004342F6">
        <w:rPr>
          <w:rFonts w:ascii="Segoe UI" w:eastAsia="宋体" w:hAnsi="Segoe UI" w:cs="Segoe UI"/>
          <w:color w:val="586B86"/>
          <w:kern w:val="0"/>
          <w:sz w:val="24"/>
          <w:szCs w:val="24"/>
        </w:rPr>
        <w:t>年</w:t>
      </w:r>
      <w:r w:rsidRPr="004342F6">
        <w:rPr>
          <w:rFonts w:ascii="Segoe UI" w:eastAsia="宋体" w:hAnsi="Segoe UI" w:cs="Segoe UI"/>
          <w:color w:val="586B86"/>
          <w:kern w:val="0"/>
          <w:sz w:val="24"/>
          <w:szCs w:val="24"/>
        </w:rPr>
        <w:t>03</w:t>
      </w:r>
      <w:r w:rsidRPr="004342F6">
        <w:rPr>
          <w:rFonts w:ascii="Segoe UI" w:eastAsia="宋体" w:hAnsi="Segoe UI" w:cs="Segoe UI"/>
          <w:color w:val="586B86"/>
          <w:kern w:val="0"/>
          <w:sz w:val="24"/>
          <w:szCs w:val="24"/>
        </w:rPr>
        <w:t>月</w:t>
      </w:r>
      <w:r w:rsidRPr="004342F6">
        <w:rPr>
          <w:rFonts w:ascii="Segoe UI" w:eastAsia="宋体" w:hAnsi="Segoe UI" w:cs="Segoe UI"/>
          <w:color w:val="586B86"/>
          <w:kern w:val="0"/>
          <w:sz w:val="24"/>
          <w:szCs w:val="24"/>
        </w:rPr>
        <w:t>29</w:t>
      </w:r>
      <w:r w:rsidRPr="004342F6">
        <w:rPr>
          <w:rFonts w:ascii="Segoe UI" w:eastAsia="宋体" w:hAnsi="Segoe UI" w:cs="Segoe UI"/>
          <w:color w:val="586B86"/>
          <w:kern w:val="0"/>
          <w:sz w:val="24"/>
          <w:szCs w:val="24"/>
        </w:rPr>
        <w:t>日</w:t>
      </w:r>
      <w:r w:rsidRPr="004342F6">
        <w:rPr>
          <w:rFonts w:ascii="Segoe UI" w:eastAsia="宋体" w:hAnsi="Segoe UI" w:cs="Segoe UI"/>
          <w:color w:val="586B86"/>
          <w:kern w:val="0"/>
          <w:sz w:val="24"/>
          <w:szCs w:val="24"/>
        </w:rPr>
        <w:t>      </w:t>
      </w:r>
      <w:r w:rsidRPr="004342F6">
        <w:rPr>
          <w:rFonts w:ascii="Segoe UI" w:eastAsia="宋体" w:hAnsi="Segoe UI" w:cs="Segoe UI"/>
          <w:color w:val="586B86"/>
          <w:kern w:val="0"/>
          <w:sz w:val="24"/>
          <w:szCs w:val="24"/>
        </w:rPr>
        <w:t>来源</w:t>
      </w:r>
      <w:r w:rsidRPr="004342F6">
        <w:rPr>
          <w:rFonts w:ascii="Segoe UI" w:eastAsia="宋体" w:hAnsi="Segoe UI" w:cs="Segoe UI"/>
          <w:color w:val="586B86"/>
          <w:kern w:val="0"/>
          <w:sz w:val="24"/>
          <w:szCs w:val="24"/>
        </w:rPr>
        <w:t xml:space="preserve"> </w:t>
      </w:r>
      <w:r w:rsidRPr="004342F6">
        <w:rPr>
          <w:rFonts w:ascii="Segoe UI" w:eastAsia="宋体" w:hAnsi="Segoe UI" w:cs="Segoe UI"/>
          <w:color w:val="586B86"/>
          <w:kern w:val="0"/>
          <w:sz w:val="24"/>
          <w:szCs w:val="24"/>
        </w:rPr>
        <w:t>：</w:t>
      </w:r>
      <w:r w:rsidRPr="004342F6">
        <w:rPr>
          <w:rFonts w:ascii="Segoe UI" w:eastAsia="宋体" w:hAnsi="Segoe UI" w:cs="Segoe UI"/>
          <w:color w:val="586B86"/>
          <w:kern w:val="0"/>
          <w:sz w:val="24"/>
          <w:szCs w:val="24"/>
        </w:rPr>
        <w:t xml:space="preserve">       </w:t>
      </w:r>
      <w:r w:rsidRPr="004342F6">
        <w:rPr>
          <w:rFonts w:ascii="Segoe UI" w:eastAsia="宋体" w:hAnsi="Segoe UI" w:cs="Segoe UI"/>
          <w:color w:val="586B86"/>
          <w:kern w:val="0"/>
          <w:sz w:val="24"/>
          <w:szCs w:val="24"/>
        </w:rPr>
        <w:t>编辑</w:t>
      </w:r>
      <w:r w:rsidRPr="004342F6">
        <w:rPr>
          <w:rFonts w:ascii="Segoe UI" w:eastAsia="宋体" w:hAnsi="Segoe UI" w:cs="Segoe UI"/>
          <w:color w:val="586B86"/>
          <w:kern w:val="0"/>
          <w:sz w:val="24"/>
          <w:szCs w:val="24"/>
        </w:rPr>
        <w:t xml:space="preserve"> </w:t>
      </w:r>
      <w:r w:rsidRPr="004342F6">
        <w:rPr>
          <w:rFonts w:ascii="Segoe UI" w:eastAsia="宋体" w:hAnsi="Segoe UI" w:cs="Segoe UI"/>
          <w:color w:val="586B86"/>
          <w:kern w:val="0"/>
          <w:sz w:val="24"/>
          <w:szCs w:val="24"/>
        </w:rPr>
        <w:t>：法学院网站管理</w:t>
      </w:r>
      <w:r w:rsidRPr="004342F6">
        <w:rPr>
          <w:rFonts w:ascii="Segoe UI" w:eastAsia="宋体" w:hAnsi="Segoe UI" w:cs="Segoe UI"/>
          <w:color w:val="586B86"/>
          <w:kern w:val="0"/>
          <w:sz w:val="24"/>
          <w:szCs w:val="24"/>
        </w:rPr>
        <w:t>      </w:t>
      </w:r>
      <w:r w:rsidRPr="004342F6">
        <w:rPr>
          <w:rFonts w:ascii="Segoe UI" w:eastAsia="宋体" w:hAnsi="Segoe UI" w:cs="Segoe UI"/>
          <w:color w:val="586B86"/>
          <w:kern w:val="0"/>
          <w:sz w:val="24"/>
          <w:szCs w:val="24"/>
        </w:rPr>
        <w:t>浏览量</w:t>
      </w:r>
      <w:r w:rsidRPr="004342F6">
        <w:rPr>
          <w:rFonts w:ascii="Segoe UI" w:eastAsia="宋体" w:hAnsi="Segoe UI" w:cs="Segoe UI"/>
          <w:color w:val="586B86"/>
          <w:kern w:val="0"/>
          <w:sz w:val="24"/>
          <w:szCs w:val="24"/>
        </w:rPr>
        <w:t xml:space="preserve"> </w:t>
      </w:r>
      <w:r w:rsidRPr="004342F6">
        <w:rPr>
          <w:rFonts w:ascii="Segoe UI" w:eastAsia="宋体" w:hAnsi="Segoe UI" w:cs="Segoe UI"/>
          <w:color w:val="586B86"/>
          <w:kern w:val="0"/>
          <w:sz w:val="24"/>
          <w:szCs w:val="24"/>
        </w:rPr>
        <w:t>：</w:t>
      </w:r>
      <w:r w:rsidRPr="004342F6">
        <w:rPr>
          <w:rFonts w:ascii="Segoe UI" w:eastAsia="宋体" w:hAnsi="Segoe UI" w:cs="Segoe UI"/>
          <w:color w:val="586B86"/>
          <w:kern w:val="0"/>
          <w:sz w:val="24"/>
          <w:szCs w:val="24"/>
        </w:rPr>
        <w:t>97</w:t>
      </w:r>
    </w:p>
    <w:p w:rsidR="004342F6" w:rsidRPr="004342F6" w:rsidRDefault="004342F6" w:rsidP="004342F6">
      <w:pPr>
        <w:widowControl/>
        <w:spacing w:after="150" w:line="600" w:lineRule="atLeast"/>
        <w:ind w:firstLine="480"/>
        <w:jc w:val="left"/>
        <w:rPr>
          <w:rFonts w:ascii="等线" w:eastAsia="等线" w:hAnsi="等线" w:cs="宋体"/>
          <w:color w:val="181818"/>
          <w:kern w:val="0"/>
          <w:szCs w:val="21"/>
        </w:rPr>
      </w:pPr>
      <w:r w:rsidRPr="004342F6">
        <w:rPr>
          <w:rFonts w:ascii="宋体" w:eastAsia="宋体" w:hAnsi="宋体" w:cs="宋体" w:hint="eastAsia"/>
          <w:color w:val="181818"/>
          <w:kern w:val="0"/>
          <w:sz w:val="24"/>
          <w:szCs w:val="24"/>
        </w:rPr>
        <w:t>我院目前非全日制法律硕士专业</w:t>
      </w:r>
      <w:proofErr w:type="gramStart"/>
      <w:r w:rsidRPr="004342F6">
        <w:rPr>
          <w:rFonts w:ascii="宋体" w:eastAsia="宋体" w:hAnsi="宋体" w:cs="宋体" w:hint="eastAsia"/>
          <w:color w:val="181818"/>
          <w:kern w:val="0"/>
          <w:sz w:val="24"/>
          <w:szCs w:val="24"/>
        </w:rPr>
        <w:t>一</w:t>
      </w:r>
      <w:proofErr w:type="gramEnd"/>
      <w:r w:rsidRPr="004342F6">
        <w:rPr>
          <w:rFonts w:ascii="宋体" w:eastAsia="宋体" w:hAnsi="宋体" w:cs="宋体" w:hint="eastAsia"/>
          <w:color w:val="181818"/>
          <w:kern w:val="0"/>
          <w:sz w:val="24"/>
          <w:szCs w:val="24"/>
        </w:rPr>
        <w:t>志愿生源不足，可接收调剂，具体说明如下：</w:t>
      </w:r>
    </w:p>
    <w:p w:rsidR="004342F6" w:rsidRPr="004342F6" w:rsidRDefault="004342F6" w:rsidP="004342F6">
      <w:pPr>
        <w:widowControl/>
        <w:spacing w:line="600" w:lineRule="atLeast"/>
        <w:ind w:left="930" w:hanging="450"/>
        <w:jc w:val="left"/>
        <w:rPr>
          <w:rFonts w:ascii="等线" w:eastAsia="等线" w:hAnsi="等线" w:cs="Segoe UI" w:hint="eastAsia"/>
          <w:color w:val="181818"/>
          <w:kern w:val="0"/>
          <w:szCs w:val="21"/>
        </w:rPr>
      </w:pPr>
      <w:r w:rsidRPr="004342F6">
        <w:rPr>
          <w:rFonts w:ascii="宋体" w:eastAsia="宋体" w:hAnsi="宋体" w:cs="Segoe UI" w:hint="eastAsia"/>
          <w:b/>
          <w:bCs/>
          <w:color w:val="181818"/>
          <w:kern w:val="0"/>
          <w:sz w:val="24"/>
          <w:szCs w:val="24"/>
        </w:rPr>
        <w:t>一、接收调剂的专业及指标</w:t>
      </w:r>
    </w:p>
    <w:tbl>
      <w:tblPr>
        <w:tblW w:w="3750" w:type="pct"/>
        <w:jc w:val="center"/>
        <w:tblBorders>
          <w:top w:val="single" w:sz="8" w:space="0" w:color="DDDDDD"/>
          <w:left w:val="single" w:sz="8" w:space="0" w:color="DDDDDD"/>
        </w:tblBorders>
        <w:tblCellMar>
          <w:left w:w="0" w:type="dxa"/>
          <w:right w:w="0" w:type="dxa"/>
        </w:tblCellMar>
        <w:tblLook w:val="04A0" w:firstRow="1" w:lastRow="0" w:firstColumn="1" w:lastColumn="0" w:noHBand="0" w:noVBand="1"/>
      </w:tblPr>
      <w:tblGrid>
        <w:gridCol w:w="1560"/>
        <w:gridCol w:w="3237"/>
        <w:gridCol w:w="1545"/>
      </w:tblGrid>
      <w:tr w:rsidR="004342F6" w:rsidRPr="004342F6" w:rsidTr="004342F6">
        <w:trPr>
          <w:jc w:val="center"/>
        </w:trPr>
        <w:tc>
          <w:tcPr>
            <w:tcW w:w="1733" w:type="dxa"/>
            <w:tcBorders>
              <w:top w:val="nil"/>
              <w:left w:val="nil"/>
              <w:bottom w:val="single" w:sz="8" w:space="0" w:color="DDDDDD"/>
              <w:right w:val="single" w:sz="8" w:space="0" w:color="DDDDDD"/>
            </w:tcBorders>
            <w:tcMar>
              <w:top w:w="75" w:type="dxa"/>
              <w:left w:w="75" w:type="dxa"/>
              <w:bottom w:w="75" w:type="dxa"/>
              <w:right w:w="75"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kern w:val="0"/>
                <w:sz w:val="24"/>
                <w:szCs w:val="24"/>
              </w:rPr>
              <w:t>专业代码</w:t>
            </w:r>
          </w:p>
        </w:tc>
        <w:tc>
          <w:tcPr>
            <w:tcW w:w="3887" w:type="dxa"/>
            <w:tcBorders>
              <w:top w:val="nil"/>
              <w:left w:val="nil"/>
              <w:bottom w:val="single" w:sz="8" w:space="0" w:color="DDDDDD"/>
              <w:right w:val="single" w:sz="8" w:space="0" w:color="DDDDDD"/>
            </w:tcBorders>
            <w:tcMar>
              <w:top w:w="75" w:type="dxa"/>
              <w:left w:w="75" w:type="dxa"/>
              <w:bottom w:w="75" w:type="dxa"/>
              <w:right w:w="75"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kern w:val="0"/>
                <w:sz w:val="24"/>
                <w:szCs w:val="24"/>
              </w:rPr>
              <w:t>专业名称</w:t>
            </w:r>
          </w:p>
        </w:tc>
        <w:tc>
          <w:tcPr>
            <w:tcW w:w="1833" w:type="dxa"/>
            <w:tcBorders>
              <w:top w:val="nil"/>
              <w:left w:val="nil"/>
              <w:bottom w:val="single" w:sz="8" w:space="0" w:color="DDDDDD"/>
              <w:right w:val="single" w:sz="8" w:space="0" w:color="DDDDDD"/>
            </w:tcBorders>
            <w:tcMar>
              <w:top w:w="75" w:type="dxa"/>
              <w:left w:w="75" w:type="dxa"/>
              <w:bottom w:w="75" w:type="dxa"/>
              <w:right w:w="75"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kern w:val="0"/>
                <w:sz w:val="24"/>
                <w:szCs w:val="24"/>
              </w:rPr>
              <w:t>计划接收调剂指标</w:t>
            </w:r>
          </w:p>
        </w:tc>
      </w:tr>
      <w:tr w:rsidR="004342F6" w:rsidRPr="004342F6" w:rsidTr="004342F6">
        <w:trPr>
          <w:jc w:val="center"/>
        </w:trPr>
        <w:tc>
          <w:tcPr>
            <w:tcW w:w="1733" w:type="dxa"/>
            <w:tcBorders>
              <w:top w:val="nil"/>
              <w:left w:val="nil"/>
              <w:bottom w:val="single" w:sz="8" w:space="0" w:color="DDDDDD"/>
              <w:right w:val="single" w:sz="8" w:space="0" w:color="DDDDDD"/>
            </w:tcBorders>
            <w:tcMar>
              <w:top w:w="75" w:type="dxa"/>
              <w:left w:w="75" w:type="dxa"/>
              <w:bottom w:w="75" w:type="dxa"/>
              <w:right w:w="75"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color w:val="000000"/>
                <w:kern w:val="0"/>
                <w:sz w:val="24"/>
                <w:szCs w:val="24"/>
              </w:rPr>
              <w:t>035101</w:t>
            </w:r>
          </w:p>
        </w:tc>
        <w:tc>
          <w:tcPr>
            <w:tcW w:w="3887" w:type="dxa"/>
            <w:tcBorders>
              <w:top w:val="nil"/>
              <w:left w:val="nil"/>
              <w:bottom w:val="single" w:sz="8" w:space="0" w:color="DDDDDD"/>
              <w:right w:val="single" w:sz="8" w:space="0" w:color="DDDDDD"/>
            </w:tcBorders>
            <w:tcMar>
              <w:top w:w="75" w:type="dxa"/>
              <w:left w:w="75" w:type="dxa"/>
              <w:bottom w:w="75" w:type="dxa"/>
              <w:right w:w="75"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color w:val="000000"/>
                <w:kern w:val="0"/>
                <w:sz w:val="24"/>
                <w:szCs w:val="24"/>
              </w:rPr>
              <w:t>非全日制法律硕士（非法学）</w:t>
            </w:r>
          </w:p>
        </w:tc>
        <w:tc>
          <w:tcPr>
            <w:tcW w:w="1833" w:type="dxa"/>
            <w:tcBorders>
              <w:top w:val="nil"/>
              <w:left w:val="nil"/>
              <w:bottom w:val="single" w:sz="8" w:space="0" w:color="DDDDDD"/>
              <w:right w:val="single" w:sz="8" w:space="0" w:color="DDDDDD"/>
            </w:tcBorders>
            <w:tcMar>
              <w:top w:w="75" w:type="dxa"/>
              <w:left w:w="75" w:type="dxa"/>
              <w:bottom w:w="75" w:type="dxa"/>
              <w:right w:w="75"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kern w:val="0"/>
                <w:sz w:val="24"/>
                <w:szCs w:val="24"/>
              </w:rPr>
              <w:t>13</w:t>
            </w:r>
          </w:p>
        </w:tc>
      </w:tr>
      <w:tr w:rsidR="004342F6" w:rsidRPr="004342F6" w:rsidTr="004342F6">
        <w:trPr>
          <w:jc w:val="center"/>
        </w:trPr>
        <w:tc>
          <w:tcPr>
            <w:tcW w:w="1733" w:type="dxa"/>
            <w:tcBorders>
              <w:top w:val="nil"/>
              <w:left w:val="nil"/>
              <w:bottom w:val="single" w:sz="8" w:space="0" w:color="DDDDDD"/>
              <w:right w:val="single" w:sz="8" w:space="0" w:color="DDDDDD"/>
            </w:tcBorders>
            <w:tcMar>
              <w:top w:w="75" w:type="dxa"/>
              <w:left w:w="75" w:type="dxa"/>
              <w:bottom w:w="75" w:type="dxa"/>
              <w:right w:w="75"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color w:val="000000"/>
                <w:kern w:val="0"/>
                <w:sz w:val="24"/>
                <w:szCs w:val="24"/>
              </w:rPr>
              <w:t>035102</w:t>
            </w:r>
          </w:p>
        </w:tc>
        <w:tc>
          <w:tcPr>
            <w:tcW w:w="3887" w:type="dxa"/>
            <w:tcBorders>
              <w:top w:val="nil"/>
              <w:left w:val="nil"/>
              <w:bottom w:val="single" w:sz="8" w:space="0" w:color="DDDDDD"/>
              <w:right w:val="single" w:sz="8" w:space="0" w:color="DDDDDD"/>
            </w:tcBorders>
            <w:tcMar>
              <w:top w:w="75" w:type="dxa"/>
              <w:left w:w="75" w:type="dxa"/>
              <w:bottom w:w="75" w:type="dxa"/>
              <w:right w:w="75"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color w:val="000000"/>
                <w:kern w:val="0"/>
                <w:sz w:val="24"/>
                <w:szCs w:val="24"/>
              </w:rPr>
              <w:t>非全日制法律硕士（法学）</w:t>
            </w:r>
          </w:p>
        </w:tc>
        <w:tc>
          <w:tcPr>
            <w:tcW w:w="1833" w:type="dxa"/>
            <w:tcBorders>
              <w:top w:val="nil"/>
              <w:left w:val="nil"/>
              <w:bottom w:val="single" w:sz="8" w:space="0" w:color="DDDDDD"/>
              <w:right w:val="single" w:sz="8" w:space="0" w:color="DDDDDD"/>
            </w:tcBorders>
            <w:tcMar>
              <w:top w:w="75" w:type="dxa"/>
              <w:left w:w="75" w:type="dxa"/>
              <w:bottom w:w="75" w:type="dxa"/>
              <w:right w:w="75"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kern w:val="0"/>
                <w:sz w:val="24"/>
                <w:szCs w:val="24"/>
              </w:rPr>
              <w:t>4</w:t>
            </w:r>
          </w:p>
        </w:tc>
      </w:tr>
    </w:tbl>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b/>
          <w:bCs/>
          <w:color w:val="181818"/>
          <w:kern w:val="0"/>
          <w:sz w:val="24"/>
          <w:szCs w:val="24"/>
        </w:rPr>
        <w:t>二、接收调剂的基本条件</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t>根据2023年四川大学研究生复试录取工作的相关文件，调剂考生需全部满足以下条件：</w:t>
      </w:r>
    </w:p>
    <w:p w:rsidR="004342F6" w:rsidRPr="004342F6" w:rsidRDefault="004342F6" w:rsidP="004342F6">
      <w:pPr>
        <w:widowControl/>
        <w:spacing w:after="150" w:line="600" w:lineRule="atLeast"/>
        <w:ind w:left="780" w:hanging="360"/>
        <w:jc w:val="left"/>
        <w:rPr>
          <w:rFonts w:ascii="等线" w:eastAsia="等线" w:hAnsi="等线" w:cs="Segoe UI" w:hint="eastAsia"/>
          <w:color w:val="181818"/>
          <w:kern w:val="0"/>
          <w:szCs w:val="21"/>
        </w:rPr>
      </w:pPr>
      <w:r w:rsidRPr="004342F6">
        <w:rPr>
          <w:rFonts w:ascii="宋体" w:eastAsia="宋体" w:hAnsi="宋体" w:cs="Segoe UI" w:hint="eastAsia"/>
          <w:color w:val="181818"/>
          <w:kern w:val="0"/>
          <w:sz w:val="24"/>
          <w:szCs w:val="24"/>
        </w:rPr>
        <w:t>1.调剂考生须符合四川大学第一志愿报考专业及准备调入专业（领域）报考条件；</w:t>
      </w:r>
    </w:p>
    <w:p w:rsidR="004342F6" w:rsidRPr="004342F6" w:rsidRDefault="004342F6" w:rsidP="004342F6">
      <w:pPr>
        <w:widowControl/>
        <w:spacing w:after="150" w:line="600" w:lineRule="atLeast"/>
        <w:ind w:left="780" w:hanging="360"/>
        <w:jc w:val="left"/>
        <w:rPr>
          <w:rFonts w:ascii="等线" w:eastAsia="等线" w:hAnsi="等线" w:cs="Segoe UI" w:hint="eastAsia"/>
          <w:color w:val="181818"/>
          <w:kern w:val="0"/>
          <w:szCs w:val="21"/>
        </w:rPr>
      </w:pPr>
      <w:r w:rsidRPr="004342F6">
        <w:rPr>
          <w:rFonts w:ascii="宋体" w:eastAsia="宋体" w:hAnsi="宋体" w:cs="Segoe UI" w:hint="eastAsia"/>
          <w:color w:val="181818"/>
          <w:kern w:val="0"/>
          <w:sz w:val="24"/>
          <w:szCs w:val="24"/>
        </w:rPr>
        <w:t>2.调剂生初试统考成绩需达到四川大学第一志愿报考专业基本要求和调入专业复试分数线；</w:t>
      </w:r>
    </w:p>
    <w:p w:rsidR="004342F6" w:rsidRPr="004342F6" w:rsidRDefault="004342F6" w:rsidP="004342F6">
      <w:pPr>
        <w:widowControl/>
        <w:spacing w:after="150" w:line="600" w:lineRule="atLeast"/>
        <w:ind w:left="780" w:hanging="360"/>
        <w:jc w:val="left"/>
        <w:rPr>
          <w:rFonts w:ascii="等线" w:eastAsia="等线" w:hAnsi="等线" w:cs="Segoe UI" w:hint="eastAsia"/>
          <w:color w:val="181818"/>
          <w:kern w:val="0"/>
          <w:szCs w:val="21"/>
        </w:rPr>
      </w:pPr>
      <w:r w:rsidRPr="004342F6">
        <w:rPr>
          <w:rFonts w:ascii="宋体" w:eastAsia="宋体" w:hAnsi="宋体" w:cs="Segoe UI" w:hint="eastAsia"/>
          <w:color w:val="181818"/>
          <w:kern w:val="0"/>
          <w:sz w:val="24"/>
          <w:szCs w:val="24"/>
        </w:rPr>
        <w:t>3.统考初试科目与调入专业初试科目相同(要求外语语种相同)；</w:t>
      </w:r>
    </w:p>
    <w:p w:rsidR="004342F6" w:rsidRPr="004342F6" w:rsidRDefault="004342F6" w:rsidP="004342F6">
      <w:pPr>
        <w:widowControl/>
        <w:spacing w:after="150" w:line="600" w:lineRule="atLeast"/>
        <w:ind w:firstLine="570"/>
        <w:jc w:val="left"/>
        <w:rPr>
          <w:rFonts w:ascii="等线" w:eastAsia="等线" w:hAnsi="等线" w:cs="Segoe UI" w:hint="eastAsia"/>
          <w:color w:val="181818"/>
          <w:kern w:val="0"/>
          <w:szCs w:val="21"/>
        </w:rPr>
      </w:pPr>
      <w:r w:rsidRPr="004342F6">
        <w:rPr>
          <w:rFonts w:ascii="宋体" w:eastAsia="宋体" w:hAnsi="宋体" w:cs="Segoe UI" w:hint="eastAsia"/>
          <w:color w:val="181818"/>
          <w:kern w:val="0"/>
          <w:sz w:val="24"/>
          <w:szCs w:val="24"/>
        </w:rPr>
        <w:t>4.非全日制法律硕士接收调剂具体要求如下：</w:t>
      </w:r>
    </w:p>
    <w:p w:rsidR="004342F6" w:rsidRPr="004342F6" w:rsidRDefault="004342F6" w:rsidP="004342F6">
      <w:pPr>
        <w:widowControl/>
        <w:spacing w:after="150" w:line="600" w:lineRule="atLeast"/>
        <w:ind w:firstLine="570"/>
        <w:jc w:val="left"/>
        <w:rPr>
          <w:rFonts w:ascii="等线" w:eastAsia="等线" w:hAnsi="等线" w:cs="Segoe UI" w:hint="eastAsia"/>
          <w:color w:val="181818"/>
          <w:kern w:val="0"/>
          <w:szCs w:val="21"/>
        </w:rPr>
      </w:pPr>
      <w:r w:rsidRPr="004342F6">
        <w:rPr>
          <w:rFonts w:ascii="宋体" w:eastAsia="宋体" w:hAnsi="宋体" w:cs="Segoe UI" w:hint="eastAsia"/>
          <w:color w:val="181818"/>
          <w:kern w:val="0"/>
          <w:sz w:val="24"/>
          <w:szCs w:val="24"/>
        </w:rPr>
        <w:lastRenderedPageBreak/>
        <w:br/>
      </w:r>
    </w:p>
    <w:tbl>
      <w:tblPr>
        <w:tblW w:w="4650" w:type="pct"/>
        <w:jc w:val="center"/>
        <w:tblCellMar>
          <w:left w:w="0" w:type="dxa"/>
          <w:right w:w="0" w:type="dxa"/>
        </w:tblCellMar>
        <w:tblLook w:val="04A0" w:firstRow="1" w:lastRow="0" w:firstColumn="1" w:lastColumn="0" w:noHBand="0" w:noVBand="1"/>
      </w:tblPr>
      <w:tblGrid>
        <w:gridCol w:w="474"/>
        <w:gridCol w:w="2182"/>
        <w:gridCol w:w="1709"/>
        <w:gridCol w:w="3560"/>
      </w:tblGrid>
      <w:tr w:rsidR="004342F6" w:rsidRPr="004342F6" w:rsidTr="004342F6">
        <w:trPr>
          <w:trHeight w:val="433"/>
          <w:jc w:val="center"/>
        </w:trPr>
        <w:tc>
          <w:tcPr>
            <w:tcW w:w="479" w:type="dxa"/>
            <w:vMerge w:val="restart"/>
            <w:tcBorders>
              <w:top w:val="single" w:sz="8" w:space="0" w:color="B4C6E7"/>
              <w:left w:val="single" w:sz="8" w:space="0" w:color="B4C6E7"/>
              <w:bottom w:val="single" w:sz="12" w:space="0" w:color="B4C6E7"/>
              <w:right w:val="single" w:sz="8" w:space="0" w:color="B4C6E7"/>
            </w:tcBorders>
            <w:tcMar>
              <w:top w:w="0" w:type="dxa"/>
              <w:left w:w="108" w:type="dxa"/>
              <w:bottom w:w="0" w:type="dxa"/>
              <w:right w:w="108" w:type="dxa"/>
            </w:tcMa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b/>
                <w:bCs/>
                <w:kern w:val="0"/>
                <w:sz w:val="24"/>
                <w:szCs w:val="24"/>
              </w:rPr>
              <w:t>序号</w:t>
            </w:r>
          </w:p>
        </w:tc>
        <w:tc>
          <w:tcPr>
            <w:tcW w:w="2533" w:type="dxa"/>
            <w:vMerge w:val="restart"/>
            <w:tcBorders>
              <w:top w:val="single" w:sz="8" w:space="0" w:color="B4C6E7"/>
              <w:left w:val="single" w:sz="8" w:space="0" w:color="B4C6E7"/>
              <w:bottom w:val="single" w:sz="12" w:space="0" w:color="B4C6E7"/>
              <w:right w:val="single" w:sz="8" w:space="0" w:color="B4C6E7"/>
            </w:tcBorders>
            <w:tcMar>
              <w:top w:w="0" w:type="dxa"/>
              <w:left w:w="108" w:type="dxa"/>
              <w:bottom w:w="0" w:type="dxa"/>
              <w:right w:w="108" w:type="dxa"/>
            </w:tcMa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b/>
                <w:bCs/>
                <w:kern w:val="0"/>
                <w:sz w:val="24"/>
                <w:szCs w:val="24"/>
              </w:rPr>
              <w:t>接收调剂学科专业</w:t>
            </w:r>
          </w:p>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b/>
                <w:bCs/>
                <w:kern w:val="0"/>
                <w:sz w:val="24"/>
                <w:szCs w:val="24"/>
              </w:rPr>
              <w:t>代码及名称</w:t>
            </w:r>
          </w:p>
        </w:tc>
        <w:tc>
          <w:tcPr>
            <w:tcW w:w="6267" w:type="dxa"/>
            <w:gridSpan w:val="2"/>
            <w:tcBorders>
              <w:top w:val="single" w:sz="8" w:space="0" w:color="B4C6E7"/>
              <w:left w:val="single" w:sz="8" w:space="0" w:color="B4C6E7"/>
              <w:bottom w:val="single" w:sz="12" w:space="0" w:color="8EAADB"/>
              <w:right w:val="single" w:sz="8" w:space="0" w:color="B4C6E7"/>
            </w:tcBorders>
            <w:tcMar>
              <w:top w:w="0" w:type="dxa"/>
              <w:left w:w="108" w:type="dxa"/>
              <w:bottom w:w="0" w:type="dxa"/>
              <w:right w:w="108" w:type="dxa"/>
            </w:tcMa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b/>
                <w:bCs/>
                <w:kern w:val="0"/>
                <w:sz w:val="24"/>
                <w:szCs w:val="24"/>
              </w:rPr>
              <w:t>应满足</w:t>
            </w:r>
          </w:p>
        </w:tc>
      </w:tr>
      <w:tr w:rsidR="004342F6" w:rsidRPr="004342F6" w:rsidTr="004342F6">
        <w:trPr>
          <w:trHeight w:val="824"/>
          <w:jc w:val="center"/>
        </w:trPr>
        <w:tc>
          <w:tcPr>
            <w:tcW w:w="0" w:type="auto"/>
            <w:vMerge/>
            <w:tcBorders>
              <w:top w:val="single" w:sz="8" w:space="0" w:color="B4C6E7"/>
              <w:left w:val="single" w:sz="8" w:space="0" w:color="B4C6E7"/>
              <w:bottom w:val="single" w:sz="12" w:space="0" w:color="B4C6E7"/>
              <w:right w:val="single" w:sz="8" w:space="0" w:color="B4C6E7"/>
            </w:tcBorders>
            <w:vAlign w:val="center"/>
            <w:hideMark/>
          </w:tcPr>
          <w:p w:rsidR="004342F6" w:rsidRPr="004342F6" w:rsidRDefault="004342F6" w:rsidP="004342F6">
            <w:pPr>
              <w:widowControl/>
              <w:jc w:val="left"/>
              <w:rPr>
                <w:rFonts w:ascii="等线" w:eastAsia="等线" w:hAnsi="等线" w:cs="宋体"/>
                <w:kern w:val="0"/>
                <w:szCs w:val="21"/>
              </w:rPr>
            </w:pPr>
          </w:p>
        </w:tc>
        <w:tc>
          <w:tcPr>
            <w:tcW w:w="0" w:type="auto"/>
            <w:vMerge/>
            <w:tcBorders>
              <w:top w:val="single" w:sz="8" w:space="0" w:color="B4C6E7"/>
              <w:left w:val="single" w:sz="8" w:space="0" w:color="B4C6E7"/>
              <w:bottom w:val="single" w:sz="12" w:space="0" w:color="B4C6E7"/>
              <w:right w:val="single" w:sz="8" w:space="0" w:color="B4C6E7"/>
            </w:tcBorders>
            <w:vAlign w:val="center"/>
            <w:hideMark/>
          </w:tcPr>
          <w:p w:rsidR="004342F6" w:rsidRPr="004342F6" w:rsidRDefault="004342F6" w:rsidP="004342F6">
            <w:pPr>
              <w:widowControl/>
              <w:jc w:val="left"/>
              <w:rPr>
                <w:rFonts w:ascii="等线" w:eastAsia="等线" w:hAnsi="等线" w:cs="宋体"/>
                <w:kern w:val="0"/>
                <w:szCs w:val="21"/>
              </w:rPr>
            </w:pPr>
          </w:p>
        </w:tc>
        <w:tc>
          <w:tcPr>
            <w:tcW w:w="1926" w:type="dxa"/>
            <w:tcBorders>
              <w:top w:val="single" w:sz="12" w:space="0" w:color="B4C6E7"/>
              <w:left w:val="single" w:sz="8" w:space="0" w:color="B4C6E7"/>
              <w:bottom w:val="single" w:sz="12" w:space="0" w:color="B4C6E7"/>
              <w:right w:val="single" w:sz="8" w:space="0" w:color="B4C6E7"/>
            </w:tcBorders>
            <w:tcMar>
              <w:top w:w="0" w:type="dxa"/>
              <w:left w:w="108" w:type="dxa"/>
              <w:bottom w:w="0" w:type="dxa"/>
              <w:right w:w="108" w:type="dxa"/>
            </w:tcMa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kern w:val="0"/>
                <w:sz w:val="24"/>
                <w:szCs w:val="24"/>
              </w:rPr>
              <w:t>学科要求（</w:t>
            </w:r>
            <w:proofErr w:type="gramStart"/>
            <w:r w:rsidRPr="004342F6">
              <w:rPr>
                <w:rFonts w:ascii="宋体" w:eastAsia="宋体" w:hAnsi="宋体" w:cs="宋体" w:hint="eastAsia"/>
                <w:kern w:val="0"/>
                <w:sz w:val="24"/>
                <w:szCs w:val="24"/>
              </w:rPr>
              <w:t>一</w:t>
            </w:r>
            <w:proofErr w:type="gramEnd"/>
            <w:r w:rsidRPr="004342F6">
              <w:rPr>
                <w:rFonts w:ascii="宋体" w:eastAsia="宋体" w:hAnsi="宋体" w:cs="宋体" w:hint="eastAsia"/>
                <w:kern w:val="0"/>
                <w:sz w:val="24"/>
                <w:szCs w:val="24"/>
              </w:rPr>
              <w:t>志愿报考学科专业代码及名称）</w:t>
            </w:r>
          </w:p>
        </w:tc>
        <w:tc>
          <w:tcPr>
            <w:tcW w:w="4341" w:type="dxa"/>
            <w:tcBorders>
              <w:top w:val="single" w:sz="12" w:space="0" w:color="B4C6E7"/>
              <w:left w:val="single" w:sz="8" w:space="0" w:color="B4C6E7"/>
              <w:bottom w:val="single" w:sz="12" w:space="0" w:color="B4C6E7"/>
              <w:right w:val="single" w:sz="8" w:space="0" w:color="B4C6E7"/>
            </w:tcBorders>
            <w:tcMar>
              <w:top w:w="0" w:type="dxa"/>
              <w:left w:w="108" w:type="dxa"/>
              <w:bottom w:w="0" w:type="dxa"/>
              <w:right w:w="108" w:type="dxa"/>
            </w:tcMa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kern w:val="0"/>
                <w:sz w:val="24"/>
                <w:szCs w:val="24"/>
              </w:rPr>
              <w:t>学术要求</w:t>
            </w:r>
          </w:p>
        </w:tc>
      </w:tr>
      <w:tr w:rsidR="004342F6" w:rsidRPr="004342F6" w:rsidTr="004342F6">
        <w:trPr>
          <w:trHeight w:val="452"/>
          <w:jc w:val="center"/>
        </w:trPr>
        <w:tc>
          <w:tcPr>
            <w:tcW w:w="479" w:type="dxa"/>
            <w:tcBorders>
              <w:top w:val="single" w:sz="12" w:space="0" w:color="B4C6E7"/>
              <w:left w:val="single" w:sz="8" w:space="0" w:color="B4C6E7"/>
              <w:bottom w:val="single" w:sz="12" w:space="0" w:color="B4C6E7"/>
              <w:right w:val="single" w:sz="8" w:space="0" w:color="B4C6E7"/>
            </w:tcBorders>
            <w:tcMar>
              <w:top w:w="0" w:type="dxa"/>
              <w:left w:w="108" w:type="dxa"/>
              <w:bottom w:w="0" w:type="dxa"/>
              <w:right w:w="108" w:type="dxa"/>
            </w:tcMa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b/>
                <w:bCs/>
                <w:kern w:val="0"/>
                <w:sz w:val="24"/>
                <w:szCs w:val="24"/>
              </w:rPr>
              <w:t>1</w:t>
            </w:r>
          </w:p>
        </w:tc>
        <w:tc>
          <w:tcPr>
            <w:tcW w:w="2533" w:type="dxa"/>
            <w:tcBorders>
              <w:top w:val="single" w:sz="12" w:space="0" w:color="B4C6E7"/>
              <w:left w:val="single" w:sz="8" w:space="0" w:color="B4C6E7"/>
              <w:bottom w:val="single" w:sz="12" w:space="0" w:color="B4C6E7"/>
              <w:right w:val="single" w:sz="8" w:space="0" w:color="B4C6E7"/>
            </w:tcBorders>
            <w:tcMar>
              <w:top w:w="0" w:type="dxa"/>
              <w:left w:w="108" w:type="dxa"/>
              <w:bottom w:w="0" w:type="dxa"/>
              <w:right w:w="108"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color w:val="000000"/>
                <w:kern w:val="0"/>
                <w:sz w:val="24"/>
                <w:szCs w:val="24"/>
              </w:rPr>
              <w:t>035101非全日制法律硕士（非法学）</w:t>
            </w:r>
          </w:p>
        </w:tc>
        <w:tc>
          <w:tcPr>
            <w:tcW w:w="1926" w:type="dxa"/>
            <w:tcBorders>
              <w:top w:val="single" w:sz="12" w:space="0" w:color="B4C6E7"/>
              <w:left w:val="single" w:sz="8" w:space="0" w:color="B4C6E7"/>
              <w:bottom w:val="single" w:sz="12" w:space="0" w:color="B4C6E7"/>
              <w:right w:val="single" w:sz="8" w:space="0" w:color="B4C6E7"/>
            </w:tcBorders>
            <w:tcMar>
              <w:top w:w="0" w:type="dxa"/>
              <w:left w:w="108" w:type="dxa"/>
              <w:bottom w:w="0" w:type="dxa"/>
              <w:right w:w="108"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color w:val="000000"/>
                <w:kern w:val="0"/>
                <w:sz w:val="24"/>
                <w:szCs w:val="24"/>
              </w:rPr>
              <w:t>035101全日制法律硕士（非法学）</w:t>
            </w:r>
          </w:p>
        </w:tc>
        <w:tc>
          <w:tcPr>
            <w:tcW w:w="4341" w:type="dxa"/>
            <w:tcBorders>
              <w:top w:val="single" w:sz="12" w:space="0" w:color="B4C6E7"/>
              <w:left w:val="single" w:sz="8" w:space="0" w:color="B4C6E7"/>
              <w:bottom w:val="single" w:sz="12" w:space="0" w:color="B4C6E7"/>
              <w:right w:val="single" w:sz="8" w:space="0" w:color="B4C6E7"/>
            </w:tcBorders>
            <w:tcMar>
              <w:top w:w="0" w:type="dxa"/>
              <w:left w:w="108" w:type="dxa"/>
              <w:bottom w:w="0" w:type="dxa"/>
              <w:right w:w="108" w:type="dxa"/>
            </w:tcMar>
            <w:hideMark/>
          </w:tcPr>
          <w:p w:rsidR="004342F6" w:rsidRPr="004342F6" w:rsidRDefault="004342F6" w:rsidP="004342F6">
            <w:pPr>
              <w:widowControl/>
              <w:spacing w:line="600" w:lineRule="atLeast"/>
              <w:jc w:val="left"/>
              <w:rPr>
                <w:rFonts w:ascii="等线" w:eastAsia="等线" w:hAnsi="等线" w:cs="宋体"/>
                <w:kern w:val="0"/>
                <w:szCs w:val="21"/>
              </w:rPr>
            </w:pPr>
            <w:r w:rsidRPr="004342F6">
              <w:rPr>
                <w:rFonts w:ascii="等线" w:eastAsia="等线" w:hAnsi="等线" w:cs="宋体" w:hint="eastAsia"/>
                <w:color w:val="000000"/>
                <w:kern w:val="0"/>
                <w:sz w:val="24"/>
                <w:szCs w:val="24"/>
              </w:rPr>
              <w:t>初试成绩符合“四川大学2023年硕士研究生入学考试初试合格线”，</w:t>
            </w:r>
            <w:proofErr w:type="gramStart"/>
            <w:r w:rsidRPr="004342F6">
              <w:rPr>
                <w:rFonts w:ascii="等线" w:eastAsia="等线" w:hAnsi="等线" w:cs="宋体" w:hint="eastAsia"/>
                <w:color w:val="000000"/>
                <w:kern w:val="0"/>
                <w:sz w:val="24"/>
                <w:szCs w:val="24"/>
              </w:rPr>
              <w:t>且参加</w:t>
            </w:r>
            <w:proofErr w:type="gramEnd"/>
            <w:r w:rsidRPr="004342F6">
              <w:rPr>
                <w:rFonts w:ascii="等线" w:eastAsia="等线" w:hAnsi="等线" w:cs="宋体" w:hint="eastAsia"/>
                <w:color w:val="000000"/>
                <w:kern w:val="0"/>
                <w:sz w:val="24"/>
                <w:szCs w:val="24"/>
              </w:rPr>
              <w:t>了四川大学全日制法律硕士（非法学）复试并复试成绩合格；非全日制调剂必须满足在职定向要求</w:t>
            </w:r>
          </w:p>
        </w:tc>
      </w:tr>
      <w:tr w:rsidR="004342F6" w:rsidRPr="004342F6" w:rsidTr="004342F6">
        <w:trPr>
          <w:trHeight w:val="887"/>
          <w:jc w:val="center"/>
        </w:trPr>
        <w:tc>
          <w:tcPr>
            <w:tcW w:w="479" w:type="dxa"/>
            <w:tcBorders>
              <w:top w:val="single" w:sz="12" w:space="0" w:color="B4C6E7"/>
              <w:left w:val="single" w:sz="8" w:space="0" w:color="B4C6E7"/>
              <w:bottom w:val="single" w:sz="8" w:space="0" w:color="B4C6E7"/>
              <w:right w:val="single" w:sz="8" w:space="0" w:color="B4C6E7"/>
            </w:tcBorders>
            <w:tcMar>
              <w:top w:w="0" w:type="dxa"/>
              <w:left w:w="108" w:type="dxa"/>
              <w:bottom w:w="0" w:type="dxa"/>
              <w:right w:w="108" w:type="dxa"/>
            </w:tcMa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b/>
                <w:bCs/>
                <w:kern w:val="0"/>
                <w:sz w:val="24"/>
                <w:szCs w:val="24"/>
              </w:rPr>
              <w:t>2</w:t>
            </w:r>
          </w:p>
        </w:tc>
        <w:tc>
          <w:tcPr>
            <w:tcW w:w="2533" w:type="dxa"/>
            <w:tcBorders>
              <w:top w:val="single" w:sz="12" w:space="0" w:color="B4C6E7"/>
              <w:left w:val="single" w:sz="8" w:space="0" w:color="B4C6E7"/>
              <w:bottom w:val="single" w:sz="8" w:space="0" w:color="B4C6E7"/>
              <w:right w:val="single" w:sz="8" w:space="0" w:color="B4C6E7"/>
            </w:tcBorders>
            <w:tcMar>
              <w:top w:w="0" w:type="dxa"/>
              <w:left w:w="108" w:type="dxa"/>
              <w:bottom w:w="0" w:type="dxa"/>
              <w:right w:w="108"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color w:val="000000"/>
                <w:kern w:val="0"/>
                <w:sz w:val="24"/>
                <w:szCs w:val="24"/>
              </w:rPr>
              <w:t>035102非全日制法律硕士（法学）</w:t>
            </w:r>
          </w:p>
        </w:tc>
        <w:tc>
          <w:tcPr>
            <w:tcW w:w="1926" w:type="dxa"/>
            <w:tcBorders>
              <w:top w:val="single" w:sz="12" w:space="0" w:color="B4C6E7"/>
              <w:left w:val="single" w:sz="8" w:space="0" w:color="B4C6E7"/>
              <w:bottom w:val="single" w:sz="8" w:space="0" w:color="B4C6E7"/>
              <w:right w:val="single" w:sz="8" w:space="0" w:color="B4C6E7"/>
            </w:tcBorders>
            <w:tcMar>
              <w:top w:w="0" w:type="dxa"/>
              <w:left w:w="108" w:type="dxa"/>
              <w:bottom w:w="0" w:type="dxa"/>
              <w:right w:w="108" w:type="dxa"/>
            </w:tcMar>
            <w:vAlign w:val="center"/>
            <w:hideMark/>
          </w:tcPr>
          <w:p w:rsidR="004342F6" w:rsidRPr="004342F6" w:rsidRDefault="004342F6" w:rsidP="004342F6">
            <w:pPr>
              <w:widowControl/>
              <w:spacing w:line="600" w:lineRule="atLeast"/>
              <w:jc w:val="center"/>
              <w:rPr>
                <w:rFonts w:ascii="等线" w:eastAsia="等线" w:hAnsi="等线" w:cs="宋体"/>
                <w:kern w:val="0"/>
                <w:szCs w:val="21"/>
              </w:rPr>
            </w:pPr>
            <w:r w:rsidRPr="004342F6">
              <w:rPr>
                <w:rFonts w:ascii="宋体" w:eastAsia="宋体" w:hAnsi="宋体" w:cs="宋体" w:hint="eastAsia"/>
                <w:color w:val="000000"/>
                <w:kern w:val="0"/>
                <w:sz w:val="24"/>
                <w:szCs w:val="24"/>
              </w:rPr>
              <w:t>035102全日制法律硕士（法学）</w:t>
            </w:r>
          </w:p>
        </w:tc>
        <w:tc>
          <w:tcPr>
            <w:tcW w:w="4341" w:type="dxa"/>
            <w:tcBorders>
              <w:top w:val="single" w:sz="12" w:space="0" w:color="B4C6E7"/>
              <w:left w:val="single" w:sz="8" w:space="0" w:color="B4C6E7"/>
              <w:bottom w:val="single" w:sz="8" w:space="0" w:color="B4C6E7"/>
              <w:right w:val="single" w:sz="8" w:space="0" w:color="B4C6E7"/>
            </w:tcBorders>
            <w:tcMar>
              <w:top w:w="0" w:type="dxa"/>
              <w:left w:w="108" w:type="dxa"/>
              <w:bottom w:w="0" w:type="dxa"/>
              <w:right w:w="108" w:type="dxa"/>
            </w:tcMar>
            <w:hideMark/>
          </w:tcPr>
          <w:p w:rsidR="004342F6" w:rsidRPr="004342F6" w:rsidRDefault="004342F6" w:rsidP="004342F6">
            <w:pPr>
              <w:widowControl/>
              <w:spacing w:line="600" w:lineRule="atLeast"/>
              <w:jc w:val="left"/>
              <w:rPr>
                <w:rFonts w:ascii="等线" w:eastAsia="等线" w:hAnsi="等线" w:cs="宋体"/>
                <w:kern w:val="0"/>
                <w:szCs w:val="21"/>
              </w:rPr>
            </w:pPr>
            <w:r w:rsidRPr="004342F6">
              <w:rPr>
                <w:rFonts w:ascii="等线" w:eastAsia="等线" w:hAnsi="等线" w:cs="宋体" w:hint="eastAsia"/>
                <w:color w:val="000000"/>
                <w:kern w:val="0"/>
                <w:sz w:val="24"/>
                <w:szCs w:val="24"/>
              </w:rPr>
              <w:t>初试成绩符合“四川大学2023年硕士研究生入学考试初试合格线”，</w:t>
            </w:r>
            <w:proofErr w:type="gramStart"/>
            <w:r w:rsidRPr="004342F6">
              <w:rPr>
                <w:rFonts w:ascii="等线" w:eastAsia="等线" w:hAnsi="等线" w:cs="宋体" w:hint="eastAsia"/>
                <w:color w:val="000000"/>
                <w:kern w:val="0"/>
                <w:sz w:val="24"/>
                <w:szCs w:val="24"/>
              </w:rPr>
              <w:t>且参加</w:t>
            </w:r>
            <w:proofErr w:type="gramEnd"/>
            <w:r w:rsidRPr="004342F6">
              <w:rPr>
                <w:rFonts w:ascii="等线" w:eastAsia="等线" w:hAnsi="等线" w:cs="宋体" w:hint="eastAsia"/>
                <w:color w:val="000000"/>
                <w:kern w:val="0"/>
                <w:sz w:val="24"/>
                <w:szCs w:val="24"/>
              </w:rPr>
              <w:t>了四川大学全日制法律硕士（法学）复试；非全日制调剂必须满足在职定向要求</w:t>
            </w:r>
          </w:p>
        </w:tc>
      </w:tr>
    </w:tbl>
    <w:p w:rsidR="004342F6" w:rsidRPr="004342F6" w:rsidRDefault="004342F6" w:rsidP="004342F6">
      <w:pPr>
        <w:widowControl/>
        <w:spacing w:after="150" w:line="600" w:lineRule="atLeast"/>
        <w:jc w:val="left"/>
        <w:rPr>
          <w:rFonts w:ascii="等线" w:eastAsia="等线" w:hAnsi="等线" w:cs="Segoe UI" w:hint="eastAsia"/>
          <w:color w:val="181818"/>
          <w:kern w:val="0"/>
          <w:szCs w:val="21"/>
        </w:rPr>
      </w:pPr>
      <w:r w:rsidRPr="004342F6">
        <w:rPr>
          <w:rFonts w:ascii="宋体" w:eastAsia="宋体" w:hAnsi="宋体" w:cs="Segoe UI" w:hint="eastAsia"/>
          <w:color w:val="181818"/>
          <w:kern w:val="0"/>
          <w:sz w:val="24"/>
          <w:szCs w:val="24"/>
        </w:rPr>
        <w:br/>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b/>
          <w:bCs/>
          <w:color w:val="181818"/>
          <w:kern w:val="0"/>
          <w:sz w:val="24"/>
          <w:szCs w:val="24"/>
        </w:rPr>
        <w:t>三、考生需提交的电子版材料</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lastRenderedPageBreak/>
        <w:t>符合上述调剂条件的考生，请在3月31日中午12:00前将PDF版的以下材料发送到faxueyuavip2010@163.com，文件名统一格式为</w:t>
      </w:r>
      <w:r w:rsidRPr="004342F6">
        <w:rPr>
          <w:rFonts w:ascii="宋体" w:eastAsia="宋体" w:hAnsi="宋体" w:cs="宋体" w:hint="eastAsia"/>
          <w:b/>
          <w:bCs/>
          <w:color w:val="181818"/>
          <w:kern w:val="0"/>
          <w:sz w:val="24"/>
          <w:szCs w:val="24"/>
          <w:u w:val="single"/>
        </w:rPr>
        <w:t>【2023年调剂申请者：非全日法律硕士（法学）/非全日法律硕士（非法学）调剂申请】。</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t>1.初试准考证（如</w:t>
      </w:r>
      <w:proofErr w:type="gramStart"/>
      <w:r w:rsidRPr="004342F6">
        <w:rPr>
          <w:rFonts w:ascii="宋体" w:eastAsia="宋体" w:hAnsi="宋体" w:cs="宋体" w:hint="eastAsia"/>
          <w:color w:val="181818"/>
          <w:kern w:val="0"/>
          <w:sz w:val="24"/>
          <w:szCs w:val="24"/>
        </w:rPr>
        <w:t>丢失请</w:t>
      </w:r>
      <w:proofErr w:type="gramEnd"/>
      <w:r w:rsidRPr="004342F6">
        <w:rPr>
          <w:rFonts w:ascii="宋体" w:eastAsia="宋体" w:hAnsi="宋体" w:cs="宋体" w:hint="eastAsia"/>
          <w:color w:val="181818"/>
          <w:kern w:val="0"/>
          <w:sz w:val="24"/>
          <w:szCs w:val="24"/>
        </w:rPr>
        <w:t>登录中国</w:t>
      </w:r>
      <w:proofErr w:type="gramStart"/>
      <w:r w:rsidRPr="004342F6">
        <w:rPr>
          <w:rFonts w:ascii="宋体" w:eastAsia="宋体" w:hAnsi="宋体" w:cs="宋体" w:hint="eastAsia"/>
          <w:color w:val="181818"/>
          <w:kern w:val="0"/>
          <w:sz w:val="24"/>
          <w:szCs w:val="24"/>
        </w:rPr>
        <w:t>研招网</w:t>
      </w:r>
      <w:proofErr w:type="gramEnd"/>
      <w:r w:rsidRPr="004342F6">
        <w:rPr>
          <w:rFonts w:ascii="宋体" w:eastAsia="宋体" w:hAnsi="宋体" w:cs="宋体" w:hint="eastAsia"/>
          <w:color w:val="181818"/>
          <w:kern w:val="0"/>
          <w:sz w:val="24"/>
          <w:szCs w:val="24"/>
        </w:rPr>
        <w:t>系统打印）；</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t>2.手写签名的《四川大学2023年硕士研究生诚信复试承诺书》（附件1）；</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t>3.手写签名的“四川大学法学院2023年硕士研究生调剂申请表”（附件2）；</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t>4.盖有定向</w:t>
      </w:r>
      <w:proofErr w:type="gramStart"/>
      <w:r w:rsidRPr="004342F6">
        <w:rPr>
          <w:rFonts w:ascii="宋体" w:eastAsia="宋体" w:hAnsi="宋体" w:cs="宋体" w:hint="eastAsia"/>
          <w:color w:val="181818"/>
          <w:kern w:val="0"/>
          <w:sz w:val="24"/>
          <w:szCs w:val="24"/>
        </w:rPr>
        <w:t>单位鲜章的</w:t>
      </w:r>
      <w:proofErr w:type="gramEnd"/>
      <w:r w:rsidRPr="004342F6">
        <w:rPr>
          <w:rFonts w:ascii="宋体" w:eastAsia="宋体" w:hAnsi="宋体" w:cs="宋体" w:hint="eastAsia"/>
          <w:color w:val="181818"/>
          <w:kern w:val="0"/>
          <w:sz w:val="24"/>
          <w:szCs w:val="24"/>
        </w:rPr>
        <w:t>劳动合同扫描件；</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b/>
          <w:bCs/>
          <w:color w:val="181818"/>
          <w:kern w:val="0"/>
          <w:sz w:val="24"/>
          <w:szCs w:val="24"/>
        </w:rPr>
        <w:t>四、录取原则</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t>1.调剂总成绩采纳第一志愿复试加权总成绩；</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t>2.我院将从上述规定时间内递交调剂申请的考生中，按调剂总成绩（即第一志愿复试加权总成绩）从高到低录取。</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b/>
          <w:bCs/>
          <w:color w:val="181818"/>
          <w:kern w:val="0"/>
          <w:sz w:val="24"/>
          <w:szCs w:val="24"/>
        </w:rPr>
        <w:t>五、其他要求及注意事项</w:t>
      </w:r>
    </w:p>
    <w:p w:rsidR="004342F6" w:rsidRPr="004342F6" w:rsidRDefault="004342F6" w:rsidP="004342F6">
      <w:pPr>
        <w:widowControl/>
        <w:spacing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t>1.根据《财政部 国家发展改革委</w:t>
      </w:r>
      <w:r w:rsidRPr="004342F6">
        <w:rPr>
          <w:rFonts w:ascii="等线" w:eastAsia="等线" w:hAnsi="等线" w:cs="宋体" w:hint="eastAsia"/>
          <w:color w:val="181818"/>
          <w:kern w:val="0"/>
          <w:szCs w:val="21"/>
        </w:rPr>
        <w:t> </w:t>
      </w:r>
      <w:r w:rsidRPr="004342F6">
        <w:rPr>
          <w:rFonts w:ascii="宋体" w:eastAsia="宋体" w:hAnsi="宋体" w:cs="宋体" w:hint="eastAsia"/>
          <w:color w:val="181818"/>
          <w:kern w:val="0"/>
          <w:sz w:val="24"/>
          <w:szCs w:val="24"/>
        </w:rPr>
        <w:t>教育部关于完善研究生教育投入机制的意见》（</w:t>
      </w:r>
      <w:proofErr w:type="gramStart"/>
      <w:r w:rsidRPr="004342F6">
        <w:rPr>
          <w:rFonts w:ascii="宋体" w:eastAsia="宋体" w:hAnsi="宋体" w:cs="宋体" w:hint="eastAsia"/>
          <w:color w:val="181818"/>
          <w:kern w:val="0"/>
          <w:sz w:val="24"/>
          <w:szCs w:val="24"/>
        </w:rPr>
        <w:t>财教【2013】</w:t>
      </w:r>
      <w:proofErr w:type="gramEnd"/>
      <w:r w:rsidRPr="004342F6">
        <w:rPr>
          <w:rFonts w:ascii="宋体" w:eastAsia="宋体" w:hAnsi="宋体" w:cs="宋体" w:hint="eastAsia"/>
          <w:color w:val="181818"/>
          <w:kern w:val="0"/>
          <w:sz w:val="24"/>
          <w:szCs w:val="24"/>
        </w:rPr>
        <w:t>19号）精神，非全日制研究生在校期间不享受奖助金。</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t>2.非全日制法律硕士专业学位研究生必须满足在职定向要求。</w:t>
      </w:r>
    </w:p>
    <w:p w:rsidR="004342F6" w:rsidRPr="004342F6" w:rsidRDefault="004342F6" w:rsidP="004342F6">
      <w:pPr>
        <w:widowControl/>
        <w:spacing w:after="150" w:line="600" w:lineRule="atLeast"/>
        <w:ind w:firstLine="480"/>
        <w:jc w:val="lef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br/>
      </w:r>
    </w:p>
    <w:p w:rsidR="004342F6" w:rsidRPr="004342F6" w:rsidRDefault="004342F6" w:rsidP="004342F6">
      <w:pPr>
        <w:widowControl/>
        <w:spacing w:after="150" w:line="600" w:lineRule="atLeast"/>
        <w:ind w:firstLine="480"/>
        <w:jc w:val="righ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t>四川大学法学院</w:t>
      </w:r>
    </w:p>
    <w:p w:rsidR="004342F6" w:rsidRPr="004342F6" w:rsidRDefault="004342F6" w:rsidP="004342F6">
      <w:pPr>
        <w:widowControl/>
        <w:spacing w:line="600" w:lineRule="atLeast"/>
        <w:ind w:firstLine="480"/>
        <w:jc w:val="right"/>
        <w:rPr>
          <w:rFonts w:ascii="等线" w:eastAsia="等线" w:hAnsi="等线" w:cs="宋体" w:hint="eastAsia"/>
          <w:color w:val="181818"/>
          <w:kern w:val="0"/>
          <w:szCs w:val="21"/>
        </w:rPr>
      </w:pPr>
      <w:r w:rsidRPr="004342F6">
        <w:rPr>
          <w:rFonts w:ascii="宋体" w:eastAsia="宋体" w:hAnsi="宋体" w:cs="宋体" w:hint="eastAsia"/>
          <w:color w:val="181818"/>
          <w:kern w:val="0"/>
          <w:sz w:val="24"/>
          <w:szCs w:val="24"/>
        </w:rPr>
        <w:t>2023年3月29日</w:t>
      </w:r>
    </w:p>
    <w:p w:rsidR="004342F6" w:rsidRPr="004342F6" w:rsidRDefault="004342F6" w:rsidP="004342F6">
      <w:pPr>
        <w:widowControl/>
        <w:rPr>
          <w:rFonts w:ascii="等线" w:eastAsia="等线" w:hAnsi="等线" w:cs="宋体" w:hint="eastAsia"/>
          <w:color w:val="181818"/>
          <w:kern w:val="0"/>
          <w:szCs w:val="21"/>
        </w:rPr>
      </w:pPr>
      <w:r w:rsidRPr="004342F6">
        <w:rPr>
          <w:rFonts w:ascii="宋体" w:eastAsia="宋体" w:hAnsi="宋体" w:cs="宋体" w:hint="eastAsia"/>
          <w:color w:val="181818"/>
          <w:kern w:val="0"/>
          <w:sz w:val="28"/>
          <w:szCs w:val="28"/>
        </w:rPr>
        <w:lastRenderedPageBreak/>
        <w:br/>
      </w:r>
    </w:p>
    <w:p w:rsidR="004342F6" w:rsidRPr="004342F6" w:rsidRDefault="004342F6" w:rsidP="004342F6">
      <w:pPr>
        <w:widowControl/>
        <w:numPr>
          <w:ilvl w:val="0"/>
          <w:numId w:val="1"/>
        </w:numPr>
        <w:ind w:left="0"/>
        <w:jc w:val="left"/>
        <w:rPr>
          <w:rFonts w:ascii="Segoe UI" w:eastAsia="宋体" w:hAnsi="Segoe UI" w:cs="Segoe UI" w:hint="eastAsia"/>
          <w:color w:val="181818"/>
          <w:kern w:val="0"/>
          <w:sz w:val="24"/>
          <w:szCs w:val="24"/>
        </w:rPr>
      </w:pPr>
      <w:r w:rsidRPr="004342F6">
        <w:rPr>
          <w:rFonts w:ascii="Segoe UI" w:eastAsia="宋体" w:hAnsi="Segoe UI" w:cs="Segoe UI"/>
          <w:color w:val="181818"/>
          <w:kern w:val="0"/>
          <w:sz w:val="24"/>
          <w:szCs w:val="24"/>
        </w:rPr>
        <w:t>附件【</w:t>
      </w:r>
      <w:hyperlink r:id="rId8" w:tgtFrame="_blank" w:history="1">
        <w:r w:rsidRPr="004342F6">
          <w:rPr>
            <w:rFonts w:ascii="Segoe UI" w:eastAsia="宋体" w:hAnsi="Segoe UI" w:cs="Segoe UI"/>
            <w:color w:val="181818"/>
            <w:kern w:val="0"/>
            <w:sz w:val="24"/>
            <w:szCs w:val="24"/>
            <w:u w:val="single"/>
          </w:rPr>
          <w:t>附件</w:t>
        </w:r>
        <w:r w:rsidRPr="004342F6">
          <w:rPr>
            <w:rFonts w:ascii="Segoe UI" w:eastAsia="宋体" w:hAnsi="Segoe UI" w:cs="Segoe UI"/>
            <w:color w:val="181818"/>
            <w:kern w:val="0"/>
            <w:sz w:val="24"/>
            <w:szCs w:val="24"/>
            <w:u w:val="single"/>
          </w:rPr>
          <w:t>2</w:t>
        </w:r>
        <w:r w:rsidRPr="004342F6">
          <w:rPr>
            <w:rFonts w:ascii="Segoe UI" w:eastAsia="宋体" w:hAnsi="Segoe UI" w:cs="Segoe UI"/>
            <w:color w:val="181818"/>
            <w:kern w:val="0"/>
            <w:sz w:val="24"/>
            <w:szCs w:val="24"/>
            <w:u w:val="single"/>
          </w:rPr>
          <w:t>：四川大学法学院</w:t>
        </w:r>
        <w:r w:rsidRPr="004342F6">
          <w:rPr>
            <w:rFonts w:ascii="Segoe UI" w:eastAsia="宋体" w:hAnsi="Segoe UI" w:cs="Segoe UI"/>
            <w:color w:val="181818"/>
            <w:kern w:val="0"/>
            <w:sz w:val="24"/>
            <w:szCs w:val="24"/>
            <w:u w:val="single"/>
          </w:rPr>
          <w:t>2023</w:t>
        </w:r>
        <w:r w:rsidRPr="004342F6">
          <w:rPr>
            <w:rFonts w:ascii="Segoe UI" w:eastAsia="宋体" w:hAnsi="Segoe UI" w:cs="Segoe UI"/>
            <w:color w:val="181818"/>
            <w:kern w:val="0"/>
            <w:sz w:val="24"/>
            <w:szCs w:val="24"/>
            <w:u w:val="single"/>
          </w:rPr>
          <w:t>年硕士研究生调剂申请表</w:t>
        </w:r>
        <w:r w:rsidRPr="004342F6">
          <w:rPr>
            <w:rFonts w:ascii="Segoe UI" w:eastAsia="宋体" w:hAnsi="Segoe UI" w:cs="Segoe UI"/>
            <w:color w:val="181818"/>
            <w:kern w:val="0"/>
            <w:sz w:val="24"/>
            <w:szCs w:val="24"/>
            <w:u w:val="single"/>
          </w:rPr>
          <w:t>.xls</w:t>
        </w:r>
      </w:hyperlink>
      <w:r w:rsidRPr="004342F6">
        <w:rPr>
          <w:rFonts w:ascii="Segoe UI" w:eastAsia="宋体" w:hAnsi="Segoe UI" w:cs="Segoe UI"/>
          <w:color w:val="181818"/>
          <w:kern w:val="0"/>
          <w:sz w:val="24"/>
          <w:szCs w:val="24"/>
        </w:rPr>
        <w:t>】已下载</w:t>
      </w:r>
      <w:r w:rsidRPr="004342F6">
        <w:rPr>
          <w:rFonts w:ascii="Segoe UI" w:eastAsia="宋体" w:hAnsi="Segoe UI" w:cs="Segoe UI"/>
          <w:color w:val="181818"/>
          <w:kern w:val="0"/>
          <w:sz w:val="24"/>
          <w:szCs w:val="24"/>
        </w:rPr>
        <w:t>3</w:t>
      </w:r>
      <w:r w:rsidRPr="004342F6">
        <w:rPr>
          <w:rFonts w:ascii="Segoe UI" w:eastAsia="宋体" w:hAnsi="Segoe UI" w:cs="Segoe UI"/>
          <w:color w:val="181818"/>
          <w:kern w:val="0"/>
          <w:sz w:val="24"/>
          <w:szCs w:val="24"/>
        </w:rPr>
        <w:t>次</w:t>
      </w:r>
    </w:p>
    <w:p w:rsidR="004342F6" w:rsidRPr="004342F6" w:rsidRDefault="004342F6" w:rsidP="004342F6">
      <w:pPr>
        <w:widowControl/>
        <w:numPr>
          <w:ilvl w:val="0"/>
          <w:numId w:val="1"/>
        </w:numPr>
        <w:ind w:left="0"/>
        <w:jc w:val="left"/>
        <w:rPr>
          <w:rFonts w:ascii="Segoe UI" w:eastAsia="宋体" w:hAnsi="Segoe UI" w:cs="Segoe UI"/>
          <w:color w:val="181818"/>
          <w:kern w:val="0"/>
          <w:sz w:val="24"/>
          <w:szCs w:val="24"/>
        </w:rPr>
      </w:pPr>
      <w:r w:rsidRPr="004342F6">
        <w:rPr>
          <w:rFonts w:ascii="Segoe UI" w:eastAsia="宋体" w:hAnsi="Segoe UI" w:cs="Segoe UI"/>
          <w:color w:val="181818"/>
          <w:kern w:val="0"/>
          <w:sz w:val="24"/>
          <w:szCs w:val="24"/>
        </w:rPr>
        <w:t>附件【</w:t>
      </w:r>
      <w:hyperlink r:id="rId9" w:tgtFrame="_blank" w:history="1">
        <w:r w:rsidRPr="004342F6">
          <w:rPr>
            <w:rFonts w:ascii="Segoe UI" w:eastAsia="宋体" w:hAnsi="Segoe UI" w:cs="Segoe UI"/>
            <w:color w:val="181818"/>
            <w:kern w:val="0"/>
            <w:sz w:val="24"/>
            <w:szCs w:val="24"/>
            <w:u w:val="single"/>
          </w:rPr>
          <w:t>附件</w:t>
        </w:r>
        <w:r w:rsidRPr="004342F6">
          <w:rPr>
            <w:rFonts w:ascii="Segoe UI" w:eastAsia="宋体" w:hAnsi="Segoe UI" w:cs="Segoe UI"/>
            <w:color w:val="181818"/>
            <w:kern w:val="0"/>
            <w:sz w:val="24"/>
            <w:szCs w:val="24"/>
            <w:u w:val="single"/>
          </w:rPr>
          <w:t>1</w:t>
        </w:r>
        <w:r w:rsidRPr="004342F6">
          <w:rPr>
            <w:rFonts w:ascii="Segoe UI" w:eastAsia="宋体" w:hAnsi="Segoe UI" w:cs="Segoe UI"/>
            <w:color w:val="181818"/>
            <w:kern w:val="0"/>
            <w:sz w:val="24"/>
            <w:szCs w:val="24"/>
            <w:u w:val="single"/>
          </w:rPr>
          <w:t>：四川大学</w:t>
        </w:r>
        <w:r w:rsidRPr="004342F6">
          <w:rPr>
            <w:rFonts w:ascii="Segoe UI" w:eastAsia="宋体" w:hAnsi="Segoe UI" w:cs="Segoe UI"/>
            <w:color w:val="181818"/>
            <w:kern w:val="0"/>
            <w:sz w:val="24"/>
            <w:szCs w:val="24"/>
            <w:u w:val="single"/>
          </w:rPr>
          <w:t>2023</w:t>
        </w:r>
        <w:r w:rsidRPr="004342F6">
          <w:rPr>
            <w:rFonts w:ascii="Segoe UI" w:eastAsia="宋体" w:hAnsi="Segoe UI" w:cs="Segoe UI"/>
            <w:color w:val="181818"/>
            <w:kern w:val="0"/>
            <w:sz w:val="24"/>
            <w:szCs w:val="24"/>
            <w:u w:val="single"/>
          </w:rPr>
          <w:t>年硕士研究生诚信复试承诺书</w:t>
        </w:r>
        <w:r w:rsidRPr="004342F6">
          <w:rPr>
            <w:rFonts w:ascii="Segoe UI" w:eastAsia="宋体" w:hAnsi="Segoe UI" w:cs="Segoe UI"/>
            <w:color w:val="181818"/>
            <w:kern w:val="0"/>
            <w:sz w:val="24"/>
            <w:szCs w:val="24"/>
            <w:u w:val="single"/>
          </w:rPr>
          <w:t>.docx</w:t>
        </w:r>
      </w:hyperlink>
      <w:r w:rsidRPr="004342F6">
        <w:rPr>
          <w:rFonts w:ascii="Segoe UI" w:eastAsia="宋体" w:hAnsi="Segoe UI" w:cs="Segoe UI"/>
          <w:color w:val="181818"/>
          <w:kern w:val="0"/>
          <w:sz w:val="24"/>
          <w:szCs w:val="24"/>
        </w:rPr>
        <w:t>】已下载</w:t>
      </w:r>
      <w:r w:rsidRPr="004342F6">
        <w:rPr>
          <w:rFonts w:ascii="Segoe UI" w:eastAsia="宋体" w:hAnsi="Segoe UI" w:cs="Segoe UI"/>
          <w:color w:val="181818"/>
          <w:kern w:val="0"/>
          <w:sz w:val="24"/>
          <w:szCs w:val="24"/>
        </w:rPr>
        <w:t>1</w:t>
      </w:r>
      <w:r w:rsidRPr="004342F6">
        <w:rPr>
          <w:rFonts w:ascii="Segoe UI" w:eastAsia="宋体" w:hAnsi="Segoe UI" w:cs="Segoe UI"/>
          <w:color w:val="181818"/>
          <w:kern w:val="0"/>
          <w:sz w:val="24"/>
          <w:szCs w:val="24"/>
        </w:rPr>
        <w:t>次</w:t>
      </w:r>
    </w:p>
    <w:p w:rsidR="00066524" w:rsidRPr="004342F6" w:rsidRDefault="00066524"/>
    <w:sectPr w:rsidR="00066524" w:rsidRPr="004342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FF0" w:rsidRDefault="00415FF0" w:rsidP="004342F6">
      <w:r>
        <w:separator/>
      </w:r>
    </w:p>
  </w:endnote>
  <w:endnote w:type="continuationSeparator" w:id="0">
    <w:p w:rsidR="00415FF0" w:rsidRDefault="00415FF0" w:rsidP="00434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FF0" w:rsidRDefault="00415FF0" w:rsidP="004342F6">
      <w:r>
        <w:separator/>
      </w:r>
    </w:p>
  </w:footnote>
  <w:footnote w:type="continuationSeparator" w:id="0">
    <w:p w:rsidR="00415FF0" w:rsidRDefault="00415FF0" w:rsidP="004342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E4BFD"/>
    <w:multiLevelType w:val="multilevel"/>
    <w:tmpl w:val="B9E4F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826"/>
    <w:rsid w:val="00066524"/>
    <w:rsid w:val="000C1826"/>
    <w:rsid w:val="00415FF0"/>
    <w:rsid w:val="00434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342F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42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42F6"/>
    <w:rPr>
      <w:sz w:val="18"/>
      <w:szCs w:val="18"/>
    </w:rPr>
  </w:style>
  <w:style w:type="paragraph" w:styleId="a4">
    <w:name w:val="footer"/>
    <w:basedOn w:val="a"/>
    <w:link w:val="Char0"/>
    <w:uiPriority w:val="99"/>
    <w:unhideWhenUsed/>
    <w:rsid w:val="004342F6"/>
    <w:pPr>
      <w:tabs>
        <w:tab w:val="center" w:pos="4153"/>
        <w:tab w:val="right" w:pos="8306"/>
      </w:tabs>
      <w:snapToGrid w:val="0"/>
      <w:jc w:val="left"/>
    </w:pPr>
    <w:rPr>
      <w:sz w:val="18"/>
      <w:szCs w:val="18"/>
    </w:rPr>
  </w:style>
  <w:style w:type="character" w:customStyle="1" w:styleId="Char0">
    <w:name w:val="页脚 Char"/>
    <w:basedOn w:val="a0"/>
    <w:link w:val="a4"/>
    <w:uiPriority w:val="99"/>
    <w:rsid w:val="004342F6"/>
    <w:rPr>
      <w:sz w:val="18"/>
      <w:szCs w:val="18"/>
    </w:rPr>
  </w:style>
  <w:style w:type="character" w:customStyle="1" w:styleId="2Char">
    <w:name w:val="标题 2 Char"/>
    <w:basedOn w:val="a0"/>
    <w:link w:val="2"/>
    <w:uiPriority w:val="9"/>
    <w:rsid w:val="004342F6"/>
    <w:rPr>
      <w:rFonts w:ascii="宋体" w:eastAsia="宋体" w:hAnsi="宋体" w:cs="宋体"/>
      <w:b/>
      <w:bCs/>
      <w:kern w:val="0"/>
      <w:sz w:val="36"/>
      <w:szCs w:val="36"/>
    </w:rPr>
  </w:style>
  <w:style w:type="paragraph" w:customStyle="1" w:styleId="subtime">
    <w:name w:val="subtime"/>
    <w:basedOn w:val="a"/>
    <w:rsid w:val="004342F6"/>
    <w:pPr>
      <w:widowControl/>
      <w:spacing w:before="100" w:beforeAutospacing="1" w:after="100" w:afterAutospacing="1"/>
      <w:jc w:val="left"/>
    </w:pPr>
    <w:rPr>
      <w:rFonts w:ascii="宋体" w:eastAsia="宋体" w:hAnsi="宋体" w:cs="宋体"/>
      <w:kern w:val="0"/>
      <w:sz w:val="24"/>
      <w:szCs w:val="24"/>
    </w:rPr>
  </w:style>
  <w:style w:type="paragraph" w:customStyle="1" w:styleId="style3">
    <w:name w:val="style3"/>
    <w:basedOn w:val="a"/>
    <w:rsid w:val="004342F6"/>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4342F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342F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42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42F6"/>
    <w:rPr>
      <w:sz w:val="18"/>
      <w:szCs w:val="18"/>
    </w:rPr>
  </w:style>
  <w:style w:type="paragraph" w:styleId="a4">
    <w:name w:val="footer"/>
    <w:basedOn w:val="a"/>
    <w:link w:val="Char0"/>
    <w:uiPriority w:val="99"/>
    <w:unhideWhenUsed/>
    <w:rsid w:val="004342F6"/>
    <w:pPr>
      <w:tabs>
        <w:tab w:val="center" w:pos="4153"/>
        <w:tab w:val="right" w:pos="8306"/>
      </w:tabs>
      <w:snapToGrid w:val="0"/>
      <w:jc w:val="left"/>
    </w:pPr>
    <w:rPr>
      <w:sz w:val="18"/>
      <w:szCs w:val="18"/>
    </w:rPr>
  </w:style>
  <w:style w:type="character" w:customStyle="1" w:styleId="Char0">
    <w:name w:val="页脚 Char"/>
    <w:basedOn w:val="a0"/>
    <w:link w:val="a4"/>
    <w:uiPriority w:val="99"/>
    <w:rsid w:val="004342F6"/>
    <w:rPr>
      <w:sz w:val="18"/>
      <w:szCs w:val="18"/>
    </w:rPr>
  </w:style>
  <w:style w:type="character" w:customStyle="1" w:styleId="2Char">
    <w:name w:val="标题 2 Char"/>
    <w:basedOn w:val="a0"/>
    <w:link w:val="2"/>
    <w:uiPriority w:val="9"/>
    <w:rsid w:val="004342F6"/>
    <w:rPr>
      <w:rFonts w:ascii="宋体" w:eastAsia="宋体" w:hAnsi="宋体" w:cs="宋体"/>
      <w:b/>
      <w:bCs/>
      <w:kern w:val="0"/>
      <w:sz w:val="36"/>
      <w:szCs w:val="36"/>
    </w:rPr>
  </w:style>
  <w:style w:type="paragraph" w:customStyle="1" w:styleId="subtime">
    <w:name w:val="subtime"/>
    <w:basedOn w:val="a"/>
    <w:rsid w:val="004342F6"/>
    <w:pPr>
      <w:widowControl/>
      <w:spacing w:before="100" w:beforeAutospacing="1" w:after="100" w:afterAutospacing="1"/>
      <w:jc w:val="left"/>
    </w:pPr>
    <w:rPr>
      <w:rFonts w:ascii="宋体" w:eastAsia="宋体" w:hAnsi="宋体" w:cs="宋体"/>
      <w:kern w:val="0"/>
      <w:sz w:val="24"/>
      <w:szCs w:val="24"/>
    </w:rPr>
  </w:style>
  <w:style w:type="paragraph" w:customStyle="1" w:styleId="style3">
    <w:name w:val="style3"/>
    <w:basedOn w:val="a"/>
    <w:rsid w:val="004342F6"/>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4342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289867">
      <w:bodyDiv w:val="1"/>
      <w:marLeft w:val="0"/>
      <w:marRight w:val="0"/>
      <w:marTop w:val="0"/>
      <w:marBottom w:val="0"/>
      <w:divBdr>
        <w:top w:val="none" w:sz="0" w:space="0" w:color="auto"/>
        <w:left w:val="none" w:sz="0" w:space="0" w:color="auto"/>
        <w:bottom w:val="none" w:sz="0" w:space="0" w:color="auto"/>
        <w:right w:val="none" w:sz="0" w:space="0" w:color="auto"/>
      </w:divBdr>
      <w:divsChild>
        <w:div w:id="83428954">
          <w:marLeft w:val="0"/>
          <w:marRight w:val="0"/>
          <w:marTop w:val="0"/>
          <w:marBottom w:val="0"/>
          <w:divBdr>
            <w:top w:val="none" w:sz="0" w:space="0" w:color="auto"/>
            <w:left w:val="none" w:sz="0" w:space="0" w:color="auto"/>
            <w:bottom w:val="none" w:sz="0" w:space="0" w:color="auto"/>
            <w:right w:val="none" w:sz="0" w:space="0" w:color="auto"/>
          </w:divBdr>
          <w:divsChild>
            <w:div w:id="794641296">
              <w:marLeft w:val="0"/>
              <w:marRight w:val="0"/>
              <w:marTop w:val="0"/>
              <w:marBottom w:val="0"/>
              <w:divBdr>
                <w:top w:val="none" w:sz="0" w:space="0" w:color="auto"/>
                <w:left w:val="none" w:sz="0" w:space="0" w:color="auto"/>
                <w:bottom w:val="none" w:sz="0" w:space="0" w:color="auto"/>
                <w:right w:val="none" w:sz="0" w:space="0" w:color="auto"/>
              </w:divBdr>
              <w:divsChild>
                <w:div w:id="100050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scu.edu.cn/system/_content/download.jsp?urltype=news.DownloadAttachUrl&amp;owner=1456003911&amp;wbfileid=12064233"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aw.scu.edu.cn/system/_content/download.jsp?urltype=news.DownloadAttachUrl&amp;owner=1456003911&amp;wbfileid=1206423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227</Words>
  <Characters>1294</Characters>
  <Application>Microsoft Office Word</Application>
  <DocSecurity>0</DocSecurity>
  <Lines>10</Lines>
  <Paragraphs>3</Paragraphs>
  <ScaleCrop>false</ScaleCrop>
  <Company/>
  <LinksUpToDate>false</LinksUpToDate>
  <CharactersWithSpaces>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2023-03-29T06:37:00Z</dcterms:created>
  <dcterms:modified xsi:type="dcterms:W3CDTF">2023-03-29T06:37:00Z</dcterms:modified>
</cp:coreProperties>
</file>