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rFonts w:ascii="font-size:16px;" w:hAnsi="font-size:16px;" w:eastAsia="font-size:16px;" w:cs="font-size:16px;"/>
        </w:rPr>
        <w:t>考虑研究生招生调剂工作的动态性，我校将根据实际招生情况及时发布招生计划调整情况，请考生关注。</w:t>
      </w:r>
    </w:p>
    <w:tbl>
      <w:tblPr>
        <w:tblW w:w="906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77"/>
        <w:gridCol w:w="788"/>
        <w:gridCol w:w="2363"/>
        <w:gridCol w:w="1182"/>
        <w:gridCol w:w="10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20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学院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拟接收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调剂名额</w:t>
            </w:r>
          </w:p>
        </w:tc>
        <w:tc>
          <w:tcPr>
            <w:tcW w:w="6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080200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080500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085600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机车车辆工程学院（中车学院）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机车车辆工程学院（中车学院）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载运工具运用工程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机车车辆工程学院（中车学院）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交通运输工程学院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0823Z1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交通安全与工程管理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自动化与电气工程学院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080800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电气工程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自动化与电气工程学院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081100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自动化与电气工程学院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交通信息工程及控制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土木工程学院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080100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力学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土木工程学院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道路与铁道工程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土木工程学院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086100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计算机与通信工程学院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交通信息工程及控制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环境与化学工程学院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083000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环境与化学工程学院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120200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理学院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070100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085600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机车车辆工程学院（中车学院）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机车车辆工程学院（中车学院）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085502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交通运输工程学院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085702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交通运输工程学院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086100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自动化与电气工程学院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土木工程学院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086100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计算机与通信工程学院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计算机与通信工程学院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085404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计算机技术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软件学院（现代信息产业学院）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085405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环境与化学工程学院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125601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经济管理学院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125604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物流工程与管理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艺术设计学院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085500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-size:16px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652D7148"/>
    <w:rsid w:val="652D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2023-04-21T07:43:00Z</dcterms:created>
  <dc:creator>顾念</dc:creator>
  <cp:lastModifiedBy>顾念</cp:lastModifiedBy>
  <dcterms:modified xsi:type="dcterms:W3CDTF">2023-04-21T07:44:17Z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272CFB70A1A14168A156C37D4BC5FE6F_11</vt:lpwstr>
  </property>
</Properties>
</file>