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09A" w:rsidRPr="00C5309A" w:rsidRDefault="00C5309A" w:rsidP="00C5309A">
      <w:pPr>
        <w:widowControl/>
        <w:shd w:val="clear" w:color="auto" w:fill="FFFFFF"/>
        <w:spacing w:before="150" w:after="150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23"/>
          <w:szCs w:val="23"/>
        </w:rPr>
      </w:pPr>
      <w:r w:rsidRPr="00C5309A">
        <w:rPr>
          <w:rFonts w:ascii="微软雅黑" w:eastAsia="微软雅黑" w:hAnsi="微软雅黑" w:cs="宋体" w:hint="eastAsia"/>
          <w:b/>
          <w:bCs/>
          <w:color w:val="000000"/>
          <w:kern w:val="36"/>
          <w:sz w:val="23"/>
          <w:szCs w:val="23"/>
        </w:rPr>
        <w:t>大连理工大学软件学院2023年非全日制专业型硕士研究生第三轮调剂通知</w:t>
      </w:r>
    </w:p>
    <w:p w:rsidR="00C5309A" w:rsidRPr="00C5309A" w:rsidRDefault="00C5309A" w:rsidP="00C5309A">
      <w:pPr>
        <w:widowControl/>
        <w:shd w:val="clear" w:color="auto" w:fill="FFFFFF"/>
        <w:spacing w:line="293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2023-04-13  点击：[824]</w:t>
      </w:r>
    </w:p>
    <w:p w:rsidR="00C5309A" w:rsidRPr="00C5309A" w:rsidRDefault="00C5309A" w:rsidP="00C5309A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C5309A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jc w:val="center"/>
        <w:rPr>
          <w:rFonts w:ascii="微软雅黑" w:eastAsia="微软雅黑" w:hAnsi="微软雅黑" w:cs="宋体"/>
          <w:color w:val="000000"/>
          <w:kern w:val="0"/>
          <w:sz w:val="20"/>
          <w:szCs w:val="20"/>
        </w:rPr>
      </w:pPr>
      <w:r w:rsidRPr="00C5309A">
        <w:rPr>
          <w:rFonts w:ascii="华文中宋" w:eastAsia="华文中宋" w:hAnsi="华文中宋" w:cs="宋体" w:hint="eastAsia"/>
          <w:color w:val="000000"/>
          <w:kern w:val="0"/>
          <w:sz w:val="36"/>
          <w:szCs w:val="36"/>
        </w:rPr>
        <w:t>大连理工大学软件学院2023年硕士研究生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华文中宋" w:eastAsia="华文中宋" w:hAnsi="华文中宋" w:cs="宋体" w:hint="eastAsia"/>
          <w:color w:val="000000"/>
          <w:kern w:val="0"/>
          <w:sz w:val="36"/>
          <w:szCs w:val="36"/>
        </w:rPr>
        <w:t>调剂通知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根据《大连理工大学2023年硕士研究生复试录取办法》和本学院复试录取办法的规定，现将本学院调剂招生计划、调剂规则及流程等通知如下：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一、调剂计划</w:t>
      </w:r>
    </w:p>
    <w:tbl>
      <w:tblPr>
        <w:tblW w:w="86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6"/>
        <w:gridCol w:w="1893"/>
        <w:gridCol w:w="2014"/>
        <w:gridCol w:w="2014"/>
        <w:gridCol w:w="1458"/>
      </w:tblGrid>
      <w:tr w:rsidR="00C5309A" w:rsidRPr="00C5309A" w:rsidTr="00C5309A">
        <w:trPr>
          <w:jc w:val="center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2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调剂计划</w:t>
            </w:r>
          </w:p>
        </w:tc>
      </w:tr>
      <w:tr w:rsidR="00C5309A" w:rsidRPr="00C5309A" w:rsidTr="00C5309A">
        <w:trPr>
          <w:trHeight w:val="315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085405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02</w:t>
            </w:r>
            <w:r w:rsidRPr="00C5309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智能工程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</w:tr>
    </w:tbl>
    <w:p w:rsidR="00C5309A" w:rsidRPr="00C5309A" w:rsidRDefault="00C5309A" w:rsidP="00C5309A">
      <w:pPr>
        <w:widowControl/>
        <w:shd w:val="clear" w:color="auto" w:fill="FFFFFF"/>
        <w:spacing w:line="244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二、调剂条件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调剂考生须满足《大连理工大学2023年硕士研究生复试录取办法》中规定调剂基本条件和本学院制定的调剂要求，具体如下：</w:t>
      </w:r>
    </w:p>
    <w:tbl>
      <w:tblPr>
        <w:tblW w:w="89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6975"/>
      </w:tblGrid>
      <w:tr w:rsidR="00C5309A" w:rsidRPr="00C5309A" w:rsidTr="00C5309A">
        <w:trPr>
          <w:trHeight w:val="345"/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调剂专业</w:t>
            </w:r>
          </w:p>
        </w:tc>
        <w:tc>
          <w:tcPr>
            <w:tcW w:w="6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调剂要求</w:t>
            </w:r>
          </w:p>
        </w:tc>
      </w:tr>
      <w:tr w:rsidR="00C5309A" w:rsidRPr="00C5309A" w:rsidTr="00C5309A">
        <w:trPr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085405</w:t>
            </w:r>
            <w:r w:rsidRPr="00C5309A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 </w:t>
            </w:r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软件工程 非全日制（02</w:t>
            </w:r>
            <w:r w:rsidRPr="00C5309A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 </w:t>
            </w:r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智能工程）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309A" w:rsidRPr="00C5309A" w:rsidRDefault="00C5309A" w:rsidP="00C53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初试成绩须达到政治45、外国语45、业务课一</w:t>
            </w:r>
            <w:proofErr w:type="gramStart"/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70</w:t>
            </w:r>
            <w:proofErr w:type="gramEnd"/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、业务课二</w:t>
            </w:r>
            <w:proofErr w:type="gramStart"/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70</w:t>
            </w:r>
            <w:proofErr w:type="gramEnd"/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、总分300，</w:t>
            </w:r>
            <w:proofErr w:type="gramStart"/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一</w:t>
            </w:r>
            <w:proofErr w:type="gramEnd"/>
            <w:r w:rsidRPr="00C5309A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志愿报考08工学（工程）的考生。</w:t>
            </w:r>
          </w:p>
        </w:tc>
      </w:tr>
    </w:tbl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三、调剂报名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．符合调剂要求的考生请在4月14日00:00-4月14日12:00期间登录“全国硕士研究生招生考试网上调剂系统”报名。并在4月14日12:00前将申请材料压缩打包，以“考生姓名+考生编号+软件工程”进行命名发送至邮箱ld412@dlut.edu.cn。申请材料：</w:t>
      </w: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lastRenderedPageBreak/>
        <w:t>身份证、学历学位证书（应届生学生证或在读证明）、《诚信复试承诺书》、《大连理工大学研究生思想政治与综合文化素质考核表》、其他非必要材料（如本科成绩单、等级证书、论文专利、科研成果、荣誉奖项等）材料的扫描件。非全日制须提供在职证明（应届生提供就业协议）。第一志愿报考本学院软件工程且进入复试的同学，不用再次提交复试材料。将根据报名调剂考生成绩、</w:t>
      </w:r>
      <w:proofErr w:type="gramStart"/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一</w:t>
      </w:r>
      <w:proofErr w:type="gramEnd"/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志愿及本科专业、既往表现等学术标准，择优确定复试名单并发放复试通知。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2．请报名考生及时到调剂系统查看，如果接到复试通知，应于4月14日14点前通过调剂系统确认接收，并请按要求参加调剂复试。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3．参加调剂复试的考生需在4月14日15--17点参加心理测试，具体操作和</w:t>
      </w:r>
      <w:proofErr w:type="gramStart"/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要</w:t>
      </w:r>
      <w:proofErr w:type="gramEnd"/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求见《软件学院2023年硕士研究生复试录取办法》（http://ssdut.dlut.edu.cn/info/1122/23358.htm）。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left="420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四、调剂复试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1．调剂复试采取远程网络复试形式，复试内容、分值等其他未尽事宜参照本单位复试录取办法执行（已参加我院</w:t>
      </w:r>
      <w:proofErr w:type="gramStart"/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一</w:t>
      </w:r>
      <w:proofErr w:type="gramEnd"/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志愿复试的考生调剂复试时可认定</w:t>
      </w:r>
      <w:proofErr w:type="gramStart"/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一</w:t>
      </w:r>
      <w:proofErr w:type="gramEnd"/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志愿外语能力测试的成绩，也可申请重新进行外语能力测试（需要重新测试的考生，请于4月14日12点前发送确认邮件到ld412@dlut.edu.cn，未发送即视为认定</w:t>
      </w:r>
      <w:proofErr w:type="gramStart"/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一</w:t>
      </w:r>
      <w:proofErr w:type="gramEnd"/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志愿成绩），综合素质和能力考核及专业素质和能力考核部分须重新进行考核）。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lastRenderedPageBreak/>
        <w:t>2．拟录取的考生须在4月14日20点前通过调剂系统确认待录取通知，若未确认视为放弃录取，按照总成绩排序依次拟录取后序考生。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3．调剂复试时间安排如下：</w:t>
      </w:r>
    </w:p>
    <w:tbl>
      <w:tblPr>
        <w:tblW w:w="7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965"/>
        <w:gridCol w:w="2115"/>
        <w:gridCol w:w="1965"/>
      </w:tblGrid>
      <w:tr w:rsidR="00C5309A" w:rsidRPr="00C5309A" w:rsidTr="00C5309A">
        <w:trPr>
          <w:jc w:val="center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1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调剂复试时间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抽号时间</w:t>
            </w:r>
          </w:p>
        </w:tc>
      </w:tr>
      <w:tr w:rsidR="00C5309A" w:rsidRPr="00C5309A" w:rsidTr="00C5309A">
        <w:trPr>
          <w:trHeight w:val="405"/>
          <w:jc w:val="center"/>
        </w:trPr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085405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4月14日 </w:t>
            </w:r>
            <w:r w:rsidRPr="00C5309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309A" w:rsidRPr="00C5309A" w:rsidRDefault="00C5309A" w:rsidP="00C530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4月14日 </w:t>
            </w:r>
            <w:r w:rsidRPr="00C5309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</w:t>
            </w:r>
            <w:r w:rsidRPr="00C5309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15-17点</w:t>
            </w:r>
          </w:p>
        </w:tc>
      </w:tr>
    </w:tbl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五、远程网络复试说明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《网络远程复试要求》及《远程网络复试系统操作指南（考生）》请见附件。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六、联系方式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联系人：刘老师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联系电话：0411-62274463</w:t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联系邮箱：</w:t>
      </w:r>
      <w:r w:rsidRPr="00C5309A">
        <w:rPr>
          <w:rFonts w:ascii="微软雅黑" w:eastAsia="微软雅黑" w:hAnsi="微软雅黑" w:cs="宋体"/>
          <w:color w:val="000000"/>
          <w:kern w:val="0"/>
          <w:sz w:val="20"/>
          <w:szCs w:val="20"/>
        </w:rPr>
        <w:fldChar w:fldCharType="begin"/>
      </w:r>
      <w:r w:rsidRPr="00C5309A">
        <w:rPr>
          <w:rFonts w:ascii="微软雅黑" w:eastAsia="微软雅黑" w:hAnsi="微软雅黑" w:cs="宋体"/>
          <w:color w:val="000000"/>
          <w:kern w:val="0"/>
          <w:sz w:val="20"/>
          <w:szCs w:val="20"/>
        </w:rPr>
        <w:instrText xml:space="preserve"> HYPERLINK "mailto:ld412@dlut.edu.cn" </w:instrText>
      </w:r>
      <w:r w:rsidRPr="00C5309A">
        <w:rPr>
          <w:rFonts w:ascii="微软雅黑" w:eastAsia="微软雅黑" w:hAnsi="微软雅黑" w:cs="宋体"/>
          <w:color w:val="000000"/>
          <w:kern w:val="0"/>
          <w:sz w:val="20"/>
          <w:szCs w:val="20"/>
        </w:rPr>
        <w:fldChar w:fldCharType="separate"/>
      </w:r>
      <w:r w:rsidRPr="00C5309A">
        <w:rPr>
          <w:rFonts w:ascii="仿宋" w:eastAsia="仿宋" w:hAnsi="仿宋" w:cs="宋体" w:hint="eastAsia"/>
          <w:color w:val="676767"/>
          <w:kern w:val="0"/>
          <w:sz w:val="29"/>
          <w:szCs w:val="29"/>
        </w:rPr>
        <w:t>ld412@dlut.edu.cn</w:t>
      </w:r>
      <w:r w:rsidRPr="00C5309A">
        <w:rPr>
          <w:rFonts w:ascii="微软雅黑" w:eastAsia="微软雅黑" w:hAnsi="微软雅黑" w:cs="宋体"/>
          <w:color w:val="000000"/>
          <w:kern w:val="0"/>
          <w:sz w:val="20"/>
          <w:szCs w:val="20"/>
        </w:rPr>
        <w:fldChar w:fldCharType="end"/>
      </w:r>
    </w:p>
    <w:p w:rsidR="00C5309A" w:rsidRPr="00C5309A" w:rsidRDefault="00C5309A" w:rsidP="00C5309A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咨询同学可加钉钉号：</w:t>
      </w:r>
      <w:proofErr w:type="spellStart"/>
      <w:proofErr w:type="gramStart"/>
      <w:r w:rsidRPr="00C5309A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danaedlut</w:t>
      </w:r>
      <w:proofErr w:type="spellEnd"/>
      <w:proofErr w:type="gramEnd"/>
    </w:p>
    <w:p w:rsidR="00C5309A" w:rsidRPr="00C5309A" w:rsidRDefault="00C5309A" w:rsidP="00C5309A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C5309A" w:rsidRPr="00C5309A" w:rsidRDefault="00C5309A" w:rsidP="00C5309A">
      <w:pPr>
        <w:widowControl/>
        <w:numPr>
          <w:ilvl w:val="0"/>
          <w:numId w:val="1"/>
        </w:numPr>
        <w:pBdr>
          <w:bottom w:val="dotted" w:sz="6" w:space="6" w:color="434343"/>
        </w:pBd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附件【</w:t>
      </w:r>
      <w:hyperlink r:id="rId6" w:tgtFrame="_blank" w:history="1">
        <w:r w:rsidRPr="00C5309A">
          <w:rPr>
            <w:rFonts w:ascii="微软雅黑" w:eastAsia="微软雅黑" w:hAnsi="微软雅黑" w:cs="宋体" w:hint="eastAsia"/>
            <w:color w:val="676767"/>
            <w:kern w:val="0"/>
            <w:sz w:val="20"/>
            <w:szCs w:val="20"/>
          </w:rPr>
          <w:t>附件1：网络远程复试要求.docx</w:t>
        </w:r>
      </w:hyperlink>
      <w:r w:rsidRPr="00C5309A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】已下载</w:t>
      </w:r>
      <w:r w:rsidRPr="00C5309A">
        <w:rPr>
          <w:rFonts w:ascii="微软雅黑" w:eastAsia="微软雅黑" w:hAnsi="微软雅黑" w:cs="宋体" w:hint="eastAsia"/>
          <w:color w:val="036EB8"/>
          <w:kern w:val="0"/>
          <w:szCs w:val="21"/>
        </w:rPr>
        <w:t>48</w:t>
      </w:r>
      <w:r w:rsidRPr="00C5309A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次</w:t>
      </w:r>
    </w:p>
    <w:p w:rsidR="00C5309A" w:rsidRPr="00C5309A" w:rsidRDefault="00C5309A" w:rsidP="00C5309A">
      <w:pPr>
        <w:widowControl/>
        <w:numPr>
          <w:ilvl w:val="0"/>
          <w:numId w:val="1"/>
        </w:numPr>
        <w:pBdr>
          <w:bottom w:val="dotted" w:sz="6" w:space="6" w:color="434343"/>
        </w:pBd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C5309A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附件【</w:t>
      </w:r>
      <w:hyperlink r:id="rId7" w:tgtFrame="_blank" w:history="1">
        <w:r w:rsidRPr="00C5309A">
          <w:rPr>
            <w:rFonts w:ascii="微软雅黑" w:eastAsia="微软雅黑" w:hAnsi="微软雅黑" w:cs="宋体" w:hint="eastAsia"/>
            <w:color w:val="676767"/>
            <w:kern w:val="0"/>
            <w:sz w:val="20"/>
            <w:szCs w:val="20"/>
          </w:rPr>
          <w:t>附件2：远程网络复试系统操作指南（考生）.pdf</w:t>
        </w:r>
      </w:hyperlink>
      <w:r w:rsidRPr="00C5309A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】已下载</w:t>
      </w:r>
      <w:r w:rsidRPr="00C5309A">
        <w:rPr>
          <w:rFonts w:ascii="微软雅黑" w:eastAsia="微软雅黑" w:hAnsi="微软雅黑" w:cs="宋体" w:hint="eastAsia"/>
          <w:color w:val="036EB8"/>
          <w:kern w:val="0"/>
          <w:szCs w:val="21"/>
        </w:rPr>
        <w:t>47</w:t>
      </w:r>
      <w:r w:rsidRPr="00C5309A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次</w:t>
      </w:r>
    </w:p>
    <w:p w:rsidR="00FE40F3" w:rsidRPr="00C5309A" w:rsidRDefault="00FE40F3">
      <w:bookmarkStart w:id="0" w:name="_GoBack"/>
      <w:bookmarkEnd w:id="0"/>
    </w:p>
    <w:sectPr w:rsidR="00FE40F3" w:rsidRPr="00C53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54AA0"/>
    <w:multiLevelType w:val="multilevel"/>
    <w:tmpl w:val="3EDA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C0"/>
    <w:rsid w:val="008D25C0"/>
    <w:rsid w:val="00C5309A"/>
    <w:rsid w:val="00FE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5309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5309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C530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530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5309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5309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C530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530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0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21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2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sdut.dlut.edu.cn/system/_content/download.jsp?urltype=news.DownloadAttachUrl&amp;owner=1013026669&amp;wbfileid=120786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sdut.dlut.edu.cn/system/_content/download.jsp?urltype=news.DownloadAttachUrl&amp;owner=1013026669&amp;wbfileid=1207865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2023-05-14T03:08:00Z</dcterms:created>
  <dcterms:modified xsi:type="dcterms:W3CDTF">2023-05-14T03:09:00Z</dcterms:modified>
</cp:coreProperties>
</file>