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3AA6E7"/>
        <w:tblCellMar>
          <w:left w:w="0" w:type="dxa"/>
          <w:right w:w="0" w:type="dxa"/>
        </w:tblCellMar>
        <w:tblLook w:val="04A0" w:firstRow="1" w:lastRow="0" w:firstColumn="1" w:lastColumn="0" w:noHBand="0" w:noVBand="1"/>
      </w:tblPr>
      <w:tblGrid>
        <w:gridCol w:w="8306"/>
      </w:tblGrid>
      <w:tr w:rsidR="00903A57" w:rsidRPr="00903A57" w:rsidTr="00903A57">
        <w:trPr>
          <w:tblCellSpacing w:w="0" w:type="dxa"/>
        </w:trPr>
        <w:tc>
          <w:tcPr>
            <w:tcW w:w="0" w:type="auto"/>
            <w:shd w:val="clear" w:color="auto" w:fill="3AA6E7"/>
            <w:vAlign w:val="center"/>
            <w:hideMark/>
          </w:tcPr>
          <w:p w:rsidR="00903A57" w:rsidRPr="00903A57" w:rsidRDefault="00903A57" w:rsidP="00903A57">
            <w:pPr>
              <w:widowControl/>
              <w:jc w:val="center"/>
              <w:rPr>
                <w:rFonts w:ascii="宋体" w:eastAsia="宋体" w:hAnsi="宋体" w:cs="宋体"/>
                <w:b/>
                <w:bCs/>
                <w:color w:val="333333"/>
                <w:kern w:val="0"/>
                <w:sz w:val="24"/>
                <w:szCs w:val="24"/>
              </w:rPr>
            </w:pPr>
            <w:r w:rsidRPr="00903A57">
              <w:rPr>
                <w:rFonts w:ascii="宋体" w:eastAsia="宋体" w:hAnsi="宋体" w:cs="宋体" w:hint="eastAsia"/>
                <w:b/>
                <w:bCs/>
                <w:color w:val="333333"/>
                <w:kern w:val="0"/>
                <w:sz w:val="24"/>
                <w:szCs w:val="24"/>
              </w:rPr>
              <w:t>天津中医药大学关于2023年硕士研究生复试调剂(第五批次)</w:t>
            </w:r>
          </w:p>
        </w:tc>
      </w:tr>
      <w:tr w:rsidR="00903A57" w:rsidRPr="00903A57" w:rsidTr="00903A57">
        <w:trPr>
          <w:trHeight w:val="450"/>
          <w:tblCellSpacing w:w="0" w:type="dxa"/>
        </w:trPr>
        <w:tc>
          <w:tcPr>
            <w:tcW w:w="0" w:type="auto"/>
            <w:shd w:val="clear" w:color="auto" w:fill="3AA6E7"/>
            <w:vAlign w:val="center"/>
            <w:hideMark/>
          </w:tcPr>
          <w:p w:rsidR="00903A57" w:rsidRPr="00903A57" w:rsidRDefault="00903A57" w:rsidP="00903A57">
            <w:pPr>
              <w:widowControl/>
              <w:jc w:val="center"/>
              <w:rPr>
                <w:rFonts w:ascii="宋体" w:eastAsia="宋体" w:hAnsi="宋体" w:cs="宋体"/>
                <w:color w:val="333333"/>
                <w:kern w:val="0"/>
                <w:sz w:val="18"/>
                <w:szCs w:val="18"/>
              </w:rPr>
            </w:pPr>
            <w:r w:rsidRPr="00903A57">
              <w:rPr>
                <w:rFonts w:ascii="宋体" w:eastAsia="宋体" w:hAnsi="宋体" w:cs="宋体" w:hint="eastAsia"/>
                <w:color w:val="333333"/>
                <w:kern w:val="0"/>
                <w:sz w:val="18"/>
                <w:szCs w:val="18"/>
              </w:rPr>
              <w:t>2023-04-19 15:28   审核人：</w:t>
            </w:r>
          </w:p>
        </w:tc>
      </w:tr>
      <w:tr w:rsidR="00903A57" w:rsidRPr="00903A57" w:rsidTr="00903A57">
        <w:trPr>
          <w:tblCellSpacing w:w="0" w:type="dxa"/>
        </w:trPr>
        <w:tc>
          <w:tcPr>
            <w:tcW w:w="0" w:type="auto"/>
            <w:shd w:val="clear" w:color="auto" w:fill="3AA6E7"/>
            <w:vAlign w:val="center"/>
            <w:hideMark/>
          </w:tcPr>
          <w:p w:rsidR="00903A57" w:rsidRPr="00903A57" w:rsidRDefault="00903A57" w:rsidP="00903A57">
            <w:pPr>
              <w:widowControl/>
              <w:jc w:val="right"/>
              <w:rPr>
                <w:rFonts w:ascii="宋体" w:eastAsia="宋体" w:hAnsi="宋体" w:cs="宋体"/>
                <w:color w:val="333333"/>
                <w:kern w:val="0"/>
                <w:sz w:val="18"/>
                <w:szCs w:val="18"/>
              </w:rPr>
            </w:pPr>
          </w:p>
        </w:tc>
      </w:tr>
      <w:tr w:rsidR="00903A57" w:rsidRPr="00903A57" w:rsidTr="00903A57">
        <w:trPr>
          <w:tblCellSpacing w:w="0" w:type="dxa"/>
        </w:trPr>
        <w:tc>
          <w:tcPr>
            <w:tcW w:w="10950" w:type="dxa"/>
            <w:shd w:val="clear" w:color="auto" w:fill="3AA6E7"/>
            <w:vAlign w:val="center"/>
            <w:hideMark/>
          </w:tcPr>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 </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 </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根据教育部及天津市相关政策，结合我校实际情况，现制定我校2023年硕士研究生复试调剂办法。</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1.接受调剂的专业在我校研究生院网站公布。所有申请调剂的考生必须通过教育部指定的“全国硕士生招生调剂服务系统”进行。</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2.申请调剂考生须符合《天津中医药大学2023年攻读硕士学位研究生招生简章》、《天津中医药大学2023年攻读硕士学位研究生招生目录》中规定的调入专业的报考条件（我校只接受外语初试科目为英语</w:t>
            </w:r>
            <w:proofErr w:type="gramStart"/>
            <w:r w:rsidRPr="00903A57">
              <w:rPr>
                <w:rFonts w:ascii="宋体" w:eastAsia="宋体" w:hAnsi="宋体" w:cs="宋体" w:hint="eastAsia"/>
                <w:color w:val="333333"/>
                <w:kern w:val="0"/>
                <w:szCs w:val="21"/>
              </w:rPr>
              <w:t>一</w:t>
            </w:r>
            <w:proofErr w:type="gramEnd"/>
            <w:r w:rsidRPr="00903A57">
              <w:rPr>
                <w:rFonts w:ascii="宋体" w:eastAsia="宋体" w:hAnsi="宋体" w:cs="宋体" w:hint="eastAsia"/>
                <w:color w:val="333333"/>
                <w:kern w:val="0"/>
                <w:szCs w:val="21"/>
              </w:rPr>
              <w:t>的全日制考生调剂）；且调入专业与第一志愿报考专业相同或相近；应在同一学科门类范围内（专业代码前两位须相同），初试全国统一命题科目应与调入专业全国统一命题科目相同，初试科目与申请调剂专业初试科目相同或相近。</w:t>
            </w:r>
            <w:r w:rsidRPr="00903A57">
              <w:rPr>
                <w:rFonts w:ascii="宋体" w:eastAsia="宋体" w:hAnsi="宋体" w:cs="宋体" w:hint="eastAsia"/>
                <w:b/>
                <w:bCs/>
                <w:color w:val="333333"/>
                <w:kern w:val="0"/>
                <w:szCs w:val="21"/>
              </w:rPr>
              <w:t>调剂考生务必检查本人是否符合我校接收调剂的报名条件，经考生确认的报名信息，在复试录取阶段一律不得修改。如因报名信息有误无法录取，责任由考生自负。</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3.第一志愿报考照顾专业（指中医学、中西医结合及中医硕士，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中医学、中西医结合与中医硕士专业之间</w:t>
            </w:r>
            <w:proofErr w:type="gramStart"/>
            <w:r w:rsidRPr="00903A57">
              <w:rPr>
                <w:rFonts w:ascii="宋体" w:eastAsia="宋体" w:hAnsi="宋体" w:cs="宋体" w:hint="eastAsia"/>
                <w:color w:val="333333"/>
                <w:kern w:val="0"/>
                <w:szCs w:val="21"/>
              </w:rPr>
              <w:t>调剂按</w:t>
            </w:r>
            <w:proofErr w:type="gramEnd"/>
            <w:r w:rsidRPr="00903A57">
              <w:rPr>
                <w:rFonts w:ascii="宋体" w:eastAsia="宋体" w:hAnsi="宋体" w:cs="宋体" w:hint="eastAsia"/>
                <w:color w:val="333333"/>
                <w:kern w:val="0"/>
                <w:szCs w:val="21"/>
              </w:rPr>
              <w:t>照顾专业内部调剂政策执行。初试成绩达到第一志愿报考专业国家规定进入复试的A类考生初试成绩基本要求，同时符合总分和单科分数要求。如有专业调剂条件高于此要求，以</w:t>
            </w:r>
            <w:proofErr w:type="gramStart"/>
            <w:r w:rsidRPr="00903A57">
              <w:rPr>
                <w:rFonts w:ascii="宋体" w:eastAsia="宋体" w:hAnsi="宋体" w:cs="宋体" w:hint="eastAsia"/>
                <w:color w:val="333333"/>
                <w:kern w:val="0"/>
                <w:szCs w:val="21"/>
              </w:rPr>
              <w:t>天津中医药大学研究生院官网公布</w:t>
            </w:r>
            <w:proofErr w:type="gramEnd"/>
            <w:r w:rsidRPr="00903A57">
              <w:rPr>
                <w:rFonts w:ascii="宋体" w:eastAsia="宋体" w:hAnsi="宋体" w:cs="宋体" w:hint="eastAsia"/>
                <w:color w:val="333333"/>
                <w:kern w:val="0"/>
                <w:szCs w:val="21"/>
              </w:rPr>
              <w:t>为准。</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4. 报考少数民族高层次骨干人才计划的考生不得调剂到该计划以外录取；未报考少数民族高层次骨干人才计划的考生不得调剂为该计划录取。调剂时需要提供身份证及《报考2023年少数民族高层次骨干人才计划硕士研究生考生登记表》。</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5.调剂退役大学生士兵专项计划的考生调剂时需要提供《入伍批准书》复印件、《退出现役证》原件。</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6.初试成绩符合《天津中医药大学2023年普通全日制硕士研究生接收调剂专业一览表》中相关专业的调剂初试成绩要求；少数民族高层次骨干人才计划考生初试成绩符合《天津中医药大学2023年少数民族高层次骨干人才计划硕士研究生接收调剂专业一览表》中相关专业的调剂初试成绩要求。报考“退役大学生士兵”专项计划的考生，初试成绩符合《天津中医药大学2023年退役大学生士兵计划硕士研究生接收调剂专业一览表》中相关专业的调剂初试成绩要求。“退役大学生士兵”专项计划接受符合报考条件的退役大学生士兵考生。</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7.报考中医［1057］专业学位的考生可按相关政策申请调入其他专业，报考其他专业的考生不可调剂到中医［1057］专业学位。</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lastRenderedPageBreak/>
              <w:t>8.申请调剂考生参照天津中医药大学在中国研究生招生信息网发布的2023年硕士研究生调剂缺额专业。每人只能申请一个调剂专业，多于一个申请专业（即：重复申请）以第一时间申请的调剂专业为准（注：（1）不同专业代码、同一专业代码不同院系所、同一专业代码不同研究方向均视为不同专业。（2）不符合国家与我校调剂条件的申请视为无效申请，不计入重复申请的数目内）。</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9.考生调剂志愿开放调剂系统时间、调剂志愿锁定时间由学校统一设定，开放调剂系统时间不低于12个小时，调剂志愿锁定时间最长不超过36小时。我校一概不做解锁操作，请考生慎重填报调剂志愿，以免造成不符合我校调剂条件而误填报我校耽误您调剂到其他学校的时间。</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10.各二级学院（医院）根据考生情况，综合评价确定拟参加复试名单，经研究生院审核后，通过调剂系统向考生发送复试通知，调剂考生务必在2小时内网上回复确认信息，逾期视为自动放弃调剂复试资格，接收复试的考生需按二级学院（医院）要求提交材料。</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11.复试合格并获得拟录取资格后，学校在“调剂网”上发送“待录取通知”，考生须在接到“待录取通知”6小时内，登陆“调剂网”点击“接受待录取”，否则自动失去待录取资格，空出名额根据通过面试的调剂生总成绩排名递补录取。</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12.调剂复试的差额比例原则上按照不低于1:2的比例择优确定进入复试的考生名单（采取小数点进位制）；但部分生源流动性较大的专业，可视调剂生源情况适当放大（不限定差额调剂比例上限，以备调剂生源的择优选拔）。</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13.在受理考生调剂申请时，各学院要坚持公平原则，择优调入。各学院应当按考生初试成绩择优确定进入复试名单，不得以考生提交调剂志愿的时间先后顺序等非学业水平标准作为遴选依据。</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14.我校不接受参加单独考试（含强军计划、援藏计划）考生和国防生的调剂。</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15.我校不接受同等学力、非全日制本科毕业的调剂生源的调剂申请，只接受全日制本科相关专业考生的调剂申请。</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16.我校不接受住院医师规范化培训在培学员调剂。</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17.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18.以下情况的考生不在我校此次调剂选拔范围之内：</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（1）我校调剂复试，但复试不合格的考生；</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（2）已接受其他招生单位在</w:t>
            </w:r>
            <w:proofErr w:type="gramStart"/>
            <w:r w:rsidRPr="00903A57">
              <w:rPr>
                <w:rFonts w:ascii="宋体" w:eastAsia="宋体" w:hAnsi="宋体" w:cs="宋体" w:hint="eastAsia"/>
                <w:color w:val="333333"/>
                <w:kern w:val="0"/>
                <w:szCs w:val="21"/>
              </w:rPr>
              <w:t>研招网</w:t>
            </w:r>
            <w:proofErr w:type="gramEnd"/>
            <w:r w:rsidRPr="00903A57">
              <w:rPr>
                <w:rFonts w:ascii="宋体" w:eastAsia="宋体" w:hAnsi="宋体" w:cs="宋体" w:hint="eastAsia"/>
                <w:color w:val="333333"/>
                <w:kern w:val="0"/>
                <w:szCs w:val="21"/>
              </w:rPr>
              <w:t>调剂服务平台发出的待录取通知的考生；</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lastRenderedPageBreak/>
              <w:t>（3）自愿放弃我校拟录取资格的考生；</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19. 调剂复试的办法参照《天津中医药大学2023年硕士研究生招生复试录取工作方案》执行，具体复试时间由各二级学院、医院制定并通知。</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20.我校不开展预调剂和提前调剂登记工作，不接受电子邮件、电话传真以及其他非调剂系统渠道的调剂信息。</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附件：</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表1：天津中医药大学2023年硕士研究生调剂复试时间安排表</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表2：天津中医药大学2023年普通全日制硕士研究生接收调剂专业一览</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该办法最终解释权在天津中医药大学研究生招生办公室。</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咨询电话：022-59596191</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天津中医药大学研究生院</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color w:val="333333"/>
                <w:kern w:val="0"/>
                <w:szCs w:val="21"/>
              </w:rPr>
              <w:t>2023年4月19日</w:t>
            </w:r>
          </w:p>
          <w:p w:rsidR="00903A57" w:rsidRPr="00903A57" w:rsidRDefault="00903A57" w:rsidP="00903A57">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903A57">
              <w:rPr>
                <w:rFonts w:ascii="宋体" w:eastAsia="宋体" w:hAnsi="宋体" w:cs="宋体" w:hint="eastAsia"/>
                <w:b/>
                <w:bCs/>
                <w:color w:val="333333"/>
                <w:kern w:val="0"/>
                <w:szCs w:val="21"/>
              </w:rPr>
              <w:t>表1：天津中医药大学2023年硕士研究生调剂复试时间安排表（第五批次）</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7"/>
              <w:gridCol w:w="2976"/>
              <w:gridCol w:w="3347"/>
            </w:tblGrid>
            <w:tr w:rsidR="00903A57" w:rsidRPr="00903A57" w:rsidTr="00903A57">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jc w:val="left"/>
                    <w:rPr>
                      <w:rFonts w:ascii="宋体" w:eastAsia="宋体" w:hAnsi="宋体" w:cs="宋体"/>
                      <w:color w:val="333333"/>
                      <w:kern w:val="0"/>
                      <w:sz w:val="18"/>
                      <w:szCs w:val="18"/>
                    </w:rPr>
                  </w:pP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b/>
                      <w:bCs/>
                      <w:color w:val="333333"/>
                      <w:kern w:val="0"/>
                      <w:szCs w:val="21"/>
                    </w:rPr>
                    <w:t>事项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b/>
                      <w:bCs/>
                      <w:color w:val="333333"/>
                      <w:kern w:val="0"/>
                      <w:szCs w:val="21"/>
                    </w:rPr>
                    <w:t>时间安排</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b/>
                      <w:bCs/>
                      <w:color w:val="333333"/>
                      <w:kern w:val="0"/>
                      <w:szCs w:val="21"/>
                    </w:rPr>
                    <w:t>备注</w:t>
                  </w:r>
                </w:p>
              </w:tc>
            </w:tr>
            <w:tr w:rsidR="00903A57" w:rsidRPr="00903A57" w:rsidTr="00903A57">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b/>
                      <w:bCs/>
                      <w:color w:val="333333"/>
                      <w:kern w:val="0"/>
                      <w:szCs w:val="21"/>
                    </w:rPr>
                    <w:t>第五批调剂安排（调剂专业以调剂系统正式发布为准）</w:t>
                  </w: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考生填写调剂志愿</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2023年4月19日15:40— 4月20日14:00</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如因系统崩溃等不可抗力原因顺延时间</w:t>
                  </w: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向调剂考生发复试通知</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proofErr w:type="gramStart"/>
                  <w:r w:rsidRPr="00903A57">
                    <w:rPr>
                      <w:rFonts w:ascii="宋体" w:eastAsia="宋体" w:hAnsi="宋体" w:cs="宋体" w:hint="eastAsia"/>
                      <w:color w:val="333333"/>
                      <w:kern w:val="0"/>
                      <w:szCs w:val="21"/>
                    </w:rPr>
                    <w:t>待负责</w:t>
                  </w:r>
                  <w:proofErr w:type="gramEnd"/>
                  <w:r w:rsidRPr="00903A57">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如有考生由于各种原因放弃我校复试，我校递补发复试通知的时间可不在此时间段内。</w:t>
                  </w: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考生提交材料</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proofErr w:type="gramStart"/>
                  <w:r w:rsidRPr="00903A57">
                    <w:rPr>
                      <w:rFonts w:ascii="宋体" w:eastAsia="宋体" w:hAnsi="宋体" w:cs="宋体" w:hint="eastAsia"/>
                      <w:color w:val="333333"/>
                      <w:kern w:val="0"/>
                      <w:szCs w:val="21"/>
                    </w:rPr>
                    <w:t>待负责</w:t>
                  </w:r>
                  <w:proofErr w:type="gramEnd"/>
                  <w:r w:rsidRPr="00903A57">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包括已参加过我校</w:t>
                  </w:r>
                  <w:proofErr w:type="gramStart"/>
                  <w:r w:rsidRPr="00903A57">
                    <w:rPr>
                      <w:rFonts w:ascii="宋体" w:eastAsia="宋体" w:hAnsi="宋体" w:cs="宋体" w:hint="eastAsia"/>
                      <w:color w:val="333333"/>
                      <w:kern w:val="0"/>
                      <w:szCs w:val="21"/>
                    </w:rPr>
                    <w:t>一</w:t>
                  </w:r>
                  <w:proofErr w:type="gramEnd"/>
                  <w:r w:rsidRPr="00903A57">
                    <w:rPr>
                      <w:rFonts w:ascii="宋体" w:eastAsia="宋体" w:hAnsi="宋体" w:cs="宋体" w:hint="eastAsia"/>
                      <w:color w:val="333333"/>
                      <w:kern w:val="0"/>
                      <w:szCs w:val="21"/>
                    </w:rPr>
                    <w:t>志愿复试的考生。</w:t>
                  </w: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考生交复试费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proofErr w:type="gramStart"/>
                  <w:r w:rsidRPr="00903A57">
                    <w:rPr>
                      <w:rFonts w:ascii="宋体" w:eastAsia="宋体" w:hAnsi="宋体" w:cs="宋体" w:hint="eastAsia"/>
                      <w:color w:val="333333"/>
                      <w:kern w:val="0"/>
                      <w:szCs w:val="21"/>
                    </w:rPr>
                    <w:t>待负责</w:t>
                  </w:r>
                  <w:proofErr w:type="gramEnd"/>
                  <w:r w:rsidRPr="00903A57">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ind w:firstLine="480"/>
                    <w:jc w:val="left"/>
                    <w:rPr>
                      <w:rFonts w:ascii="宋体" w:eastAsia="宋体" w:hAnsi="宋体" w:cs="宋体"/>
                      <w:color w:val="333333"/>
                      <w:kern w:val="0"/>
                      <w:sz w:val="18"/>
                      <w:szCs w:val="18"/>
                    </w:rPr>
                  </w:pPr>
                </w:p>
              </w:tc>
            </w:tr>
            <w:tr w:rsidR="00903A57" w:rsidRPr="00903A57" w:rsidTr="00903A57">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r w:rsidRPr="00903A57">
                    <w:rPr>
                      <w:rFonts w:ascii="宋体" w:eastAsia="宋体" w:hAnsi="宋体" w:cs="宋体" w:hint="eastAsia"/>
                      <w:color w:val="333333"/>
                      <w:kern w:val="0"/>
                      <w:szCs w:val="21"/>
                    </w:rPr>
                    <w:t>调剂复试时间</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spacing w:line="315" w:lineRule="atLeast"/>
                    <w:jc w:val="left"/>
                    <w:rPr>
                      <w:rFonts w:ascii="宋体" w:eastAsia="宋体" w:hAnsi="宋体" w:cs="宋体"/>
                      <w:color w:val="333333"/>
                      <w:kern w:val="0"/>
                      <w:szCs w:val="21"/>
                    </w:rPr>
                  </w:pPr>
                  <w:proofErr w:type="gramStart"/>
                  <w:r w:rsidRPr="00903A57">
                    <w:rPr>
                      <w:rFonts w:ascii="宋体" w:eastAsia="宋体" w:hAnsi="宋体" w:cs="宋体" w:hint="eastAsia"/>
                      <w:color w:val="333333"/>
                      <w:kern w:val="0"/>
                      <w:szCs w:val="21"/>
                    </w:rPr>
                    <w:t>待负责</w:t>
                  </w:r>
                  <w:proofErr w:type="gramEnd"/>
                  <w:r w:rsidRPr="00903A57">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03A57" w:rsidRPr="00903A57" w:rsidRDefault="00903A57" w:rsidP="00903A57">
                  <w:pPr>
                    <w:widowControl/>
                    <w:ind w:firstLine="480"/>
                    <w:jc w:val="left"/>
                    <w:rPr>
                      <w:rFonts w:ascii="宋体" w:eastAsia="宋体" w:hAnsi="宋体" w:cs="宋体"/>
                      <w:color w:val="333333"/>
                      <w:kern w:val="0"/>
                      <w:sz w:val="18"/>
                      <w:szCs w:val="18"/>
                    </w:rPr>
                  </w:pPr>
                </w:p>
              </w:tc>
            </w:tr>
          </w:tbl>
          <w:p w:rsidR="00903A57" w:rsidRPr="00903A57" w:rsidRDefault="00903A57" w:rsidP="00903A57">
            <w:pPr>
              <w:widowControl/>
              <w:jc w:val="left"/>
              <w:rPr>
                <w:rFonts w:ascii="宋体" w:eastAsia="宋体" w:hAnsi="宋体" w:cs="宋体"/>
                <w:color w:val="333333"/>
                <w:kern w:val="0"/>
                <w:szCs w:val="21"/>
              </w:rPr>
            </w:pPr>
          </w:p>
        </w:tc>
      </w:tr>
      <w:tr w:rsidR="00903A57" w:rsidRPr="00903A57" w:rsidTr="00903A57">
        <w:trPr>
          <w:tblCellSpacing w:w="0" w:type="dxa"/>
        </w:trPr>
        <w:tc>
          <w:tcPr>
            <w:tcW w:w="0" w:type="auto"/>
            <w:shd w:val="clear" w:color="auto" w:fill="3AA6E7"/>
            <w:vAlign w:val="center"/>
            <w:hideMark/>
          </w:tcPr>
          <w:p w:rsidR="00903A57" w:rsidRPr="00903A57" w:rsidRDefault="00903A57" w:rsidP="00903A57">
            <w:pPr>
              <w:widowControl/>
              <w:jc w:val="left"/>
              <w:rPr>
                <w:rFonts w:ascii="宋体" w:eastAsia="宋体" w:hAnsi="宋体" w:cs="宋体"/>
                <w:color w:val="222222"/>
                <w:kern w:val="0"/>
                <w:sz w:val="18"/>
                <w:szCs w:val="18"/>
              </w:rPr>
            </w:pPr>
          </w:p>
        </w:tc>
      </w:tr>
      <w:tr w:rsidR="00903A57" w:rsidRPr="00903A57" w:rsidTr="00903A57">
        <w:trPr>
          <w:tblCellSpacing w:w="0" w:type="dxa"/>
        </w:trPr>
        <w:tc>
          <w:tcPr>
            <w:tcW w:w="0" w:type="auto"/>
            <w:shd w:val="clear" w:color="auto" w:fill="3AA6E7"/>
            <w:vAlign w:val="center"/>
            <w:hideMark/>
          </w:tcPr>
          <w:p w:rsidR="00903A57" w:rsidRPr="00903A57" w:rsidRDefault="00903A57" w:rsidP="00903A57">
            <w:pPr>
              <w:widowControl/>
              <w:jc w:val="left"/>
              <w:rPr>
                <w:rFonts w:ascii="宋体" w:eastAsia="宋体" w:hAnsi="宋体" w:cs="宋体"/>
                <w:color w:val="333333"/>
                <w:kern w:val="0"/>
                <w:sz w:val="18"/>
                <w:szCs w:val="18"/>
              </w:rPr>
            </w:pPr>
          </w:p>
        </w:tc>
      </w:tr>
      <w:tr w:rsidR="00903A57" w:rsidRPr="00903A57" w:rsidTr="00903A57">
        <w:trPr>
          <w:tblCellSpacing w:w="0" w:type="dxa"/>
        </w:trPr>
        <w:tc>
          <w:tcPr>
            <w:tcW w:w="0" w:type="auto"/>
            <w:shd w:val="clear" w:color="auto" w:fill="3AA6E7"/>
            <w:vAlign w:val="center"/>
            <w:hideMark/>
          </w:tcPr>
          <w:p w:rsidR="00903A57" w:rsidRPr="00903A57" w:rsidRDefault="00903A57" w:rsidP="00903A57">
            <w:pPr>
              <w:widowControl/>
              <w:jc w:val="left"/>
              <w:rPr>
                <w:rFonts w:ascii="宋体" w:eastAsia="宋体" w:hAnsi="宋体" w:cs="宋体"/>
                <w:color w:val="333333"/>
                <w:kern w:val="0"/>
                <w:sz w:val="18"/>
                <w:szCs w:val="18"/>
              </w:rPr>
            </w:pPr>
            <w:r w:rsidRPr="00903A57">
              <w:rPr>
                <w:rFonts w:ascii="宋体" w:eastAsia="宋体" w:hAnsi="宋体" w:cs="宋体" w:hint="eastAsia"/>
                <w:color w:val="333333"/>
                <w:kern w:val="0"/>
                <w:sz w:val="18"/>
                <w:szCs w:val="18"/>
              </w:rPr>
              <w:t>附件【</w:t>
            </w:r>
            <w:hyperlink r:id="rId5" w:history="1">
              <w:r w:rsidRPr="00903A57">
                <w:rPr>
                  <w:rFonts w:ascii="宋体" w:eastAsia="宋体" w:hAnsi="宋体" w:cs="宋体" w:hint="eastAsia"/>
                  <w:color w:val="333333"/>
                  <w:kern w:val="0"/>
                  <w:sz w:val="18"/>
                  <w:szCs w:val="18"/>
                </w:rPr>
                <w:t>附表2-天津中医药大学2023年普通全日制硕士研究生接收调剂专业一览表（第五批次）.pdf</w:t>
              </w:r>
            </w:hyperlink>
            <w:r w:rsidRPr="00903A57">
              <w:rPr>
                <w:rFonts w:ascii="宋体" w:eastAsia="宋体" w:hAnsi="宋体" w:cs="宋体" w:hint="eastAsia"/>
                <w:color w:val="333333"/>
                <w:kern w:val="0"/>
                <w:sz w:val="18"/>
                <w:szCs w:val="18"/>
              </w:rPr>
              <w:t>】已下载1636次</w:t>
            </w:r>
            <w:r w:rsidRPr="00903A57">
              <w:rPr>
                <w:rFonts w:ascii="宋体" w:eastAsia="宋体" w:hAnsi="宋体" w:cs="宋体" w:hint="eastAsia"/>
                <w:color w:val="333333"/>
                <w:kern w:val="0"/>
                <w:sz w:val="18"/>
                <w:szCs w:val="18"/>
              </w:rPr>
              <w:br/>
              <w:t>附件【</w:t>
            </w:r>
            <w:hyperlink r:id="rId6" w:history="1">
              <w:r w:rsidRPr="00903A57">
                <w:rPr>
                  <w:rFonts w:ascii="宋体" w:eastAsia="宋体" w:hAnsi="宋体" w:cs="宋体" w:hint="eastAsia"/>
                  <w:color w:val="333333"/>
                  <w:kern w:val="0"/>
                  <w:sz w:val="18"/>
                  <w:szCs w:val="18"/>
                </w:rPr>
                <w:t>天津中医药大学2023年硕士研究生考生复试安排表、各学院附院联系方式以及温馨提示.pdf</w:t>
              </w:r>
            </w:hyperlink>
            <w:r w:rsidRPr="00903A57">
              <w:rPr>
                <w:rFonts w:ascii="宋体" w:eastAsia="宋体" w:hAnsi="宋体" w:cs="宋体" w:hint="eastAsia"/>
                <w:color w:val="333333"/>
                <w:kern w:val="0"/>
                <w:sz w:val="18"/>
                <w:szCs w:val="18"/>
              </w:rPr>
              <w:t>】已下载401次</w:t>
            </w:r>
          </w:p>
        </w:tc>
      </w:tr>
    </w:tbl>
    <w:p w:rsidR="00200606" w:rsidRPr="00903A57" w:rsidRDefault="00200606">
      <w:bookmarkStart w:id="0" w:name="_GoBack"/>
      <w:bookmarkEnd w:id="0"/>
    </w:p>
    <w:sectPr w:rsidR="00200606" w:rsidRPr="00903A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F2"/>
    <w:rsid w:val="001B4AF2"/>
    <w:rsid w:val="00200606"/>
    <w:rsid w:val="00903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903A57"/>
  </w:style>
  <w:style w:type="character" w:customStyle="1" w:styleId="authorstyle43005">
    <w:name w:val="authorstyle43005"/>
    <w:basedOn w:val="a0"/>
    <w:rsid w:val="00903A57"/>
  </w:style>
  <w:style w:type="character" w:customStyle="1" w:styleId="wbcontent">
    <w:name w:val="wb_content"/>
    <w:basedOn w:val="a0"/>
    <w:rsid w:val="00903A57"/>
  </w:style>
  <w:style w:type="paragraph" w:customStyle="1" w:styleId="vsbcontentstart">
    <w:name w:val="vsbcontent_start"/>
    <w:basedOn w:val="a"/>
    <w:rsid w:val="00903A5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903A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3A57"/>
    <w:rPr>
      <w:b/>
      <w:bCs/>
    </w:rPr>
  </w:style>
  <w:style w:type="paragraph" w:customStyle="1" w:styleId="vsbcontentend">
    <w:name w:val="vsbcontent_end"/>
    <w:basedOn w:val="a"/>
    <w:rsid w:val="00903A5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03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903A57"/>
  </w:style>
  <w:style w:type="character" w:customStyle="1" w:styleId="authorstyle43005">
    <w:name w:val="authorstyle43005"/>
    <w:basedOn w:val="a0"/>
    <w:rsid w:val="00903A57"/>
  </w:style>
  <w:style w:type="character" w:customStyle="1" w:styleId="wbcontent">
    <w:name w:val="wb_content"/>
    <w:basedOn w:val="a0"/>
    <w:rsid w:val="00903A57"/>
  </w:style>
  <w:style w:type="paragraph" w:customStyle="1" w:styleId="vsbcontentstart">
    <w:name w:val="vsbcontent_start"/>
    <w:basedOn w:val="a"/>
    <w:rsid w:val="00903A5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903A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3A57"/>
    <w:rPr>
      <w:b/>
      <w:bCs/>
    </w:rPr>
  </w:style>
  <w:style w:type="paragraph" w:customStyle="1" w:styleId="vsbcontentend">
    <w:name w:val="vsbcontent_end"/>
    <w:basedOn w:val="a"/>
    <w:rsid w:val="00903A5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03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77719">
      <w:bodyDiv w:val="1"/>
      <w:marLeft w:val="0"/>
      <w:marRight w:val="0"/>
      <w:marTop w:val="0"/>
      <w:marBottom w:val="0"/>
      <w:divBdr>
        <w:top w:val="none" w:sz="0" w:space="0" w:color="auto"/>
        <w:left w:val="none" w:sz="0" w:space="0" w:color="auto"/>
        <w:bottom w:val="none" w:sz="0" w:space="0" w:color="auto"/>
        <w:right w:val="none" w:sz="0" w:space="0" w:color="auto"/>
      </w:divBdr>
      <w:divsChild>
        <w:div w:id="1669595252">
          <w:marLeft w:val="0"/>
          <w:marRight w:val="0"/>
          <w:marTop w:val="0"/>
          <w:marBottom w:val="0"/>
          <w:divBdr>
            <w:top w:val="none" w:sz="0" w:space="0" w:color="auto"/>
            <w:left w:val="none" w:sz="0" w:space="0" w:color="auto"/>
            <w:bottom w:val="none" w:sz="0" w:space="0" w:color="auto"/>
            <w:right w:val="none" w:sz="0" w:space="0" w:color="auto"/>
          </w:divBdr>
          <w:divsChild>
            <w:div w:id="591469195">
              <w:marLeft w:val="0"/>
              <w:marRight w:val="0"/>
              <w:marTop w:val="0"/>
              <w:marBottom w:val="0"/>
              <w:divBdr>
                <w:top w:val="none" w:sz="0" w:space="0" w:color="auto"/>
                <w:left w:val="none" w:sz="0" w:space="0" w:color="auto"/>
                <w:bottom w:val="none" w:sz="0" w:space="0" w:color="auto"/>
                <w:right w:val="none" w:sz="0" w:space="0" w:color="auto"/>
              </w:divBdr>
              <w:divsChild>
                <w:div w:id="1273322803">
                  <w:marLeft w:val="0"/>
                  <w:marRight w:val="0"/>
                  <w:marTop w:val="0"/>
                  <w:marBottom w:val="0"/>
                  <w:divBdr>
                    <w:top w:val="none" w:sz="0" w:space="0" w:color="auto"/>
                    <w:left w:val="none" w:sz="0" w:space="0" w:color="auto"/>
                    <w:bottom w:val="none" w:sz="0" w:space="0" w:color="auto"/>
                    <w:right w:val="none" w:sz="0" w:space="0" w:color="auto"/>
                  </w:divBdr>
                  <w:divsChild>
                    <w:div w:id="681203239">
                      <w:marLeft w:val="0"/>
                      <w:marRight w:val="0"/>
                      <w:marTop w:val="0"/>
                      <w:marBottom w:val="0"/>
                      <w:divBdr>
                        <w:top w:val="none" w:sz="0" w:space="0" w:color="auto"/>
                        <w:left w:val="none" w:sz="0" w:space="0" w:color="auto"/>
                        <w:bottom w:val="none" w:sz="0" w:space="0" w:color="auto"/>
                        <w:right w:val="none" w:sz="0" w:space="0" w:color="auto"/>
                      </w:divBdr>
                    </w:div>
                    <w:div w:id="1723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y.tjutcm.edu.cn/system/_content/download.jsp?urltype=news.DownloadAttachUrl&amp;owner=948240902&amp;wbfileid=3868384" TargetMode="External"/><Relationship Id="rId5" Type="http://schemas.openxmlformats.org/officeDocument/2006/relationships/hyperlink" Target="https://yjsy.tjutcm.edu.cn/system/_content/download.jsp?urltype=news.DownloadAttachUrl&amp;owner=948240902&amp;wbfileid=3868383"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2023-05-23T03:55:00Z</dcterms:created>
  <dcterms:modified xsi:type="dcterms:W3CDTF">2023-05-23T03:56:00Z</dcterms:modified>
</cp:coreProperties>
</file>