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80" w:afterAutospacing="0"/>
        <w:ind w:left="0" w:right="0"/>
        <w:jc w:val="center"/>
        <w:rPr>
          <w:color w:val="333333"/>
          <w:sz w:val="20"/>
          <w:szCs w:val="20"/>
        </w:rPr>
      </w:pPr>
      <w:r>
        <w:rPr>
          <w:i w:val="0"/>
          <w:iCs w:val="0"/>
          <w:caps w:val="0"/>
          <w:color w:val="333333"/>
          <w:spacing w:val="0"/>
          <w:sz w:val="20"/>
          <w:szCs w:val="20"/>
          <w:bdr w:val="none" w:color="auto" w:sz="0" w:space="0"/>
        </w:rPr>
        <w:br w:type="textWrapping"/>
      </w:r>
      <w:r>
        <w:rPr>
          <w:i w:val="0"/>
          <w:iCs w:val="0"/>
          <w:caps w:val="0"/>
          <w:color w:val="333333"/>
          <w:spacing w:val="0"/>
          <w:sz w:val="20"/>
          <w:szCs w:val="20"/>
          <w:bdr w:val="none" w:color="auto" w:sz="0" w:space="0"/>
        </w:rPr>
        <w:t>天津中德应用技术大学2023年硕士研究生招生调剂公告</w:t>
      </w:r>
    </w:p>
    <w:p>
      <w:pPr>
        <w:keepNext w:val="0"/>
        <w:keepLines w:val="0"/>
        <w:widowControl/>
        <w:suppressLineNumbers w:val="0"/>
        <w:pBdr>
          <w:top w:val="none" w:color="auto" w:sz="0" w:space="0"/>
          <w:left w:val="none" w:color="auto" w:sz="0" w:space="0"/>
          <w:bottom w:val="single" w:color="EEEEEE" w:sz="4" w:space="10"/>
          <w:right w:val="none" w:color="auto" w:sz="0" w:space="0"/>
        </w:pBdr>
        <w:spacing w:before="0" w:beforeAutospacing="0" w:after="0" w:afterAutospacing="0"/>
        <w:ind w:left="0" w:right="0" w:firstLine="0"/>
        <w:jc w:val="left"/>
        <w:rPr>
          <w:rFonts w:ascii="微软雅黑" w:hAnsi="微软雅黑" w:eastAsia="微软雅黑" w:cs="微软雅黑"/>
          <w:i w:val="0"/>
          <w:iCs w:val="0"/>
          <w:caps w:val="0"/>
          <w:color w:val="727272"/>
          <w:spacing w:val="0"/>
          <w:sz w:val="14"/>
          <w:szCs w:val="14"/>
        </w:rPr>
      </w:pPr>
      <w:r>
        <w:rPr>
          <w:rFonts w:hint="eastAsia" w:ascii="微软雅黑" w:hAnsi="微软雅黑" w:eastAsia="微软雅黑" w:cs="微软雅黑"/>
          <w:i w:val="0"/>
          <w:iCs w:val="0"/>
          <w:caps w:val="0"/>
          <w:color w:val="999999"/>
          <w:spacing w:val="0"/>
          <w:kern w:val="0"/>
          <w:sz w:val="12"/>
          <w:szCs w:val="12"/>
          <w:bdr w:val="none" w:color="auto" w:sz="0" w:space="0"/>
          <w:lang w:val="en-US" w:eastAsia="zh-CN" w:bidi="ar"/>
        </w:rPr>
        <w:t>作者:    信息来源:    发布时间: 2023-04-03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Style w:val="6"/>
          <w:rFonts w:ascii="仿宋" w:hAnsi="仿宋" w:eastAsia="仿宋" w:cs="仿宋"/>
          <w:b w:val="0"/>
          <w:bCs w:val="0"/>
          <w:i w:val="0"/>
          <w:iCs w:val="0"/>
          <w:caps w:val="0"/>
          <w:color w:val="333333"/>
          <w:spacing w:val="0"/>
          <w:sz w:val="20"/>
          <w:szCs w:val="20"/>
          <w:bdr w:val="none" w:color="auto" w:sz="0" w:space="0"/>
        </w:rPr>
        <w:t>一、指导思想及工作原则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调剂工作是硕士研究生招生录取工作的重要环节，是满足考生志愿选择、保障考生权益的重要渠道。我校调剂工作坚持“按需招生、全面衡量、择优录取、宁缺毋滥”的原则，严格按照全国硕士研究生招生管理规定中的考生调剂基本条件和要求及我校公布的调剂工作办法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Style w:val="6"/>
          <w:rFonts w:hint="eastAsia" w:ascii="仿宋" w:hAnsi="仿宋" w:eastAsia="仿宋" w:cs="仿宋"/>
          <w:b w:val="0"/>
          <w:bCs w:val="0"/>
          <w:i w:val="0"/>
          <w:iCs w:val="0"/>
          <w:caps w:val="0"/>
          <w:color w:val="333333"/>
          <w:spacing w:val="0"/>
          <w:sz w:val="20"/>
          <w:szCs w:val="20"/>
          <w:bdr w:val="none" w:color="auto" w:sz="0" w:space="0"/>
        </w:rPr>
        <w:t>二、调剂基本条件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1.符合调入专业的报考条件。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2.达到国家A类考生复试分数线的要求，我校不接收英语以外语种的考生。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3.调入专业应与第一志愿报考专业相同或相近，且在同一学科门类范围内（可授不同学科门类学位的专业可跨门类在对应专业所属一级学科范围内进行调剂）。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4.初试科目与调入专业初试科目相同或相近，其中初试全国统一命题科目应与调入专业全国统一命题科目相同。全国统一命题科目中英语（一）、英语（二）视为相同考试科目，数学（一）、数学（二）视为相同考试科目，不接收数学（三）考生调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5.满足学院复试录取工作细则中规定的其他接受调剂考生的条件要求。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Style w:val="6"/>
          <w:rFonts w:hint="eastAsia" w:ascii="仿宋" w:hAnsi="仿宋" w:eastAsia="仿宋" w:cs="仿宋"/>
          <w:b w:val="0"/>
          <w:bCs w:val="0"/>
          <w:i w:val="0"/>
          <w:iCs w:val="0"/>
          <w:caps w:val="0"/>
          <w:color w:val="333333"/>
          <w:spacing w:val="0"/>
          <w:sz w:val="20"/>
          <w:szCs w:val="20"/>
          <w:bdr w:val="none" w:color="auto" w:sz="0" w:space="0"/>
        </w:rPr>
        <w:t>三、调剂要求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1.所有调剂考生必须通过教育部“全国硕士生招生调剂服务系统”接收。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2.调剂系统开放时间、调剂志愿锁定时间由我校统一设定，每次开放调剂系统持续时间不低于12个小时，考生调剂志愿锁定时间最长不超过36小时。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3.调剂系统开放前科技与研究生处及招生学院网站提前公布开放时间和开放时长。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4.调剂工作由科技与研究生处归口管理并统一办理相关手续。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5.“退役大学生士兵”专项计划考生调剂至普通计划的考生，须与同批次的考生，按照相关要求排名，择优进入复试。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Style w:val="6"/>
          <w:rFonts w:hint="eastAsia" w:ascii="仿宋" w:hAnsi="仿宋" w:eastAsia="仿宋" w:cs="仿宋"/>
          <w:i w:val="0"/>
          <w:iCs w:val="0"/>
          <w:caps w:val="0"/>
          <w:color w:val="333333"/>
          <w:spacing w:val="0"/>
          <w:sz w:val="20"/>
          <w:szCs w:val="20"/>
          <w:bdr w:val="none" w:color="auto" w:sz="0" w:space="0"/>
        </w:rPr>
        <w:t>四、接收调剂的专业</w:t>
      </w:r>
    </w:p>
    <w:tbl>
      <w:tblPr>
        <w:tblW w:w="0" w:type="auto"/>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420"/>
        <w:gridCol w:w="1350"/>
        <w:gridCol w:w="1520"/>
        <w:gridCol w:w="1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142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80" w:lineRule="atLeast"/>
              <w:ind w:left="0" w:right="0" w:firstLine="420"/>
              <w:jc w:val="center"/>
              <w:rPr>
                <w:color w:val="333333"/>
                <w:sz w:val="14"/>
                <w:szCs w:val="14"/>
              </w:rPr>
            </w:pPr>
            <w:r>
              <w:rPr>
                <w:rFonts w:ascii="仿宋_GB2312" w:eastAsia="仿宋_GB2312" w:cs="仿宋_GB2312"/>
                <w:color w:val="333333"/>
                <w:sz w:val="19"/>
                <w:szCs w:val="19"/>
                <w:bdr w:val="none" w:color="auto" w:sz="0" w:space="0"/>
              </w:rPr>
              <w:t>学院名称</w:t>
            </w:r>
          </w:p>
        </w:tc>
        <w:tc>
          <w:tcPr>
            <w:tcW w:w="1350" w:type="dxa"/>
            <w:tcBorders>
              <w:top w:val="single" w:color="auto" w:sz="4" w:space="0"/>
              <w:left w:val="nil"/>
              <w:bottom w:val="single" w:color="auto" w:sz="4" w:space="0"/>
              <w:right w:val="single" w:color="auto" w:sz="4" w:space="0"/>
            </w:tcBorders>
            <w:shd w:val="clear"/>
            <w:tcMar>
              <w:left w:w="70" w:type="dxa"/>
              <w:right w:w="7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80" w:lineRule="atLeast"/>
              <w:ind w:left="0" w:right="0" w:firstLine="420"/>
              <w:jc w:val="center"/>
              <w:rPr>
                <w:color w:val="333333"/>
                <w:sz w:val="14"/>
                <w:szCs w:val="14"/>
              </w:rPr>
            </w:pPr>
            <w:r>
              <w:rPr>
                <w:rFonts w:hint="default" w:ascii="仿宋_GB2312" w:eastAsia="仿宋_GB2312" w:cs="仿宋_GB2312"/>
                <w:color w:val="333333"/>
                <w:sz w:val="19"/>
                <w:szCs w:val="19"/>
                <w:bdr w:val="none" w:color="auto" w:sz="0" w:space="0"/>
              </w:rPr>
              <w:t>专业代码</w:t>
            </w:r>
          </w:p>
        </w:tc>
        <w:tc>
          <w:tcPr>
            <w:tcW w:w="1520" w:type="dxa"/>
            <w:tcBorders>
              <w:top w:val="single" w:color="auto" w:sz="4" w:space="0"/>
              <w:left w:val="nil"/>
              <w:bottom w:val="single" w:color="auto" w:sz="4" w:space="0"/>
              <w:right w:val="single" w:color="auto" w:sz="4" w:space="0"/>
            </w:tcBorders>
            <w:shd w:val="clear"/>
            <w:tcMar>
              <w:left w:w="70" w:type="dxa"/>
              <w:right w:w="7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80" w:lineRule="atLeast"/>
              <w:ind w:left="0" w:right="0" w:firstLine="420"/>
              <w:jc w:val="center"/>
              <w:rPr>
                <w:color w:val="333333"/>
                <w:sz w:val="14"/>
                <w:szCs w:val="14"/>
              </w:rPr>
            </w:pPr>
            <w:r>
              <w:rPr>
                <w:rFonts w:hint="default" w:ascii="仿宋_GB2312" w:eastAsia="仿宋_GB2312" w:cs="仿宋_GB2312"/>
                <w:color w:val="333333"/>
                <w:sz w:val="19"/>
                <w:szCs w:val="19"/>
                <w:bdr w:val="none" w:color="auto" w:sz="0" w:space="0"/>
              </w:rPr>
              <w:t>招生专业</w:t>
            </w:r>
          </w:p>
        </w:tc>
        <w:tc>
          <w:tcPr>
            <w:tcW w:w="1450" w:type="dxa"/>
            <w:tcBorders>
              <w:top w:val="single" w:color="auto" w:sz="4" w:space="0"/>
              <w:left w:val="nil"/>
              <w:bottom w:val="single" w:color="auto" w:sz="4" w:space="0"/>
              <w:right w:val="single" w:color="auto" w:sz="4" w:space="0"/>
            </w:tcBorders>
            <w:shd w:val="clear"/>
            <w:tcMar>
              <w:left w:w="70" w:type="dxa"/>
              <w:right w:w="7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80" w:lineRule="atLeast"/>
              <w:ind w:left="0" w:right="0" w:firstLine="420"/>
              <w:jc w:val="center"/>
              <w:rPr>
                <w:color w:val="333333"/>
                <w:sz w:val="14"/>
                <w:szCs w:val="14"/>
              </w:rPr>
            </w:pPr>
            <w:r>
              <w:rPr>
                <w:rFonts w:hint="default" w:ascii="仿宋_GB2312" w:eastAsia="仿宋_GB2312" w:cs="仿宋_GB2312"/>
                <w:color w:val="333333"/>
                <w:sz w:val="19"/>
                <w:szCs w:val="19"/>
                <w:bdr w:val="none" w:color="auto" w:sz="0" w:space="0"/>
              </w:rPr>
              <w:t>学习形式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1420" w:type="dxa"/>
            <w:tcBorders>
              <w:top w:val="nil"/>
              <w:left w:val="single" w:color="auto" w:sz="4" w:space="0"/>
              <w:bottom w:val="single" w:color="auto" w:sz="4" w:space="0"/>
              <w:right w:val="single" w:color="auto" w:sz="4" w:space="0"/>
            </w:tcBorders>
            <w:shd w:val="clear"/>
            <w:tcMar>
              <w:left w:w="70" w:type="dxa"/>
              <w:right w:w="7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00" w:lineRule="atLeast"/>
              <w:ind w:left="0" w:right="0" w:firstLine="420"/>
              <w:jc w:val="center"/>
              <w:rPr>
                <w:color w:val="333333"/>
                <w:sz w:val="14"/>
                <w:szCs w:val="14"/>
              </w:rPr>
            </w:pPr>
            <w:r>
              <w:rPr>
                <w:rStyle w:val="6"/>
                <w:rFonts w:hint="default" w:ascii="仿宋_GB2312" w:eastAsia="仿宋_GB2312" w:cs="仿宋_GB2312"/>
                <w:color w:val="333333"/>
                <w:sz w:val="19"/>
                <w:szCs w:val="19"/>
                <w:bdr w:val="none" w:color="auto" w:sz="0" w:space="0"/>
              </w:rPr>
              <w:t>机械工程学院</w:t>
            </w:r>
          </w:p>
        </w:tc>
        <w:tc>
          <w:tcPr>
            <w:tcW w:w="1350" w:type="dxa"/>
            <w:tcBorders>
              <w:top w:val="nil"/>
              <w:left w:val="nil"/>
              <w:bottom w:val="single" w:color="auto" w:sz="4" w:space="0"/>
              <w:right w:val="single" w:color="auto" w:sz="4" w:space="0"/>
            </w:tcBorders>
            <w:shd w:val="clear"/>
            <w:tcMar>
              <w:left w:w="70" w:type="dxa"/>
              <w:right w:w="7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00" w:lineRule="atLeast"/>
              <w:ind w:left="0" w:right="0" w:firstLine="420"/>
              <w:jc w:val="center"/>
              <w:rPr>
                <w:color w:val="333333"/>
                <w:sz w:val="14"/>
                <w:szCs w:val="14"/>
              </w:rPr>
            </w:pPr>
            <w:r>
              <w:rPr>
                <w:rFonts w:hint="default" w:ascii="仿宋_GB2312" w:eastAsia="仿宋_GB2312" w:cs="仿宋_GB2312"/>
                <w:color w:val="333333"/>
                <w:sz w:val="19"/>
                <w:szCs w:val="19"/>
                <w:bdr w:val="none" w:color="auto" w:sz="0" w:space="0"/>
              </w:rPr>
              <w:t>085500</w:t>
            </w:r>
          </w:p>
        </w:tc>
        <w:tc>
          <w:tcPr>
            <w:tcW w:w="1520" w:type="dxa"/>
            <w:tcBorders>
              <w:top w:val="nil"/>
              <w:left w:val="nil"/>
              <w:bottom w:val="single" w:color="auto" w:sz="4" w:space="0"/>
              <w:right w:val="single" w:color="auto" w:sz="4" w:space="0"/>
            </w:tcBorders>
            <w:shd w:val="clear"/>
            <w:tcMar>
              <w:left w:w="70" w:type="dxa"/>
              <w:right w:w="7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00" w:lineRule="atLeast"/>
              <w:ind w:left="0" w:right="0" w:firstLine="420"/>
              <w:jc w:val="center"/>
              <w:rPr>
                <w:color w:val="333333"/>
                <w:sz w:val="14"/>
                <w:szCs w:val="14"/>
              </w:rPr>
            </w:pPr>
            <w:r>
              <w:rPr>
                <w:rFonts w:hint="default" w:ascii="仿宋_GB2312" w:eastAsia="仿宋_GB2312" w:cs="仿宋_GB2312"/>
                <w:color w:val="333333"/>
                <w:sz w:val="19"/>
                <w:szCs w:val="19"/>
                <w:bdr w:val="none" w:color="auto" w:sz="0" w:space="0"/>
              </w:rPr>
              <w:t>机械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00" w:lineRule="atLeast"/>
              <w:ind w:left="0" w:right="0" w:firstLine="420"/>
              <w:jc w:val="center"/>
              <w:rPr>
                <w:color w:val="333333"/>
                <w:sz w:val="14"/>
                <w:szCs w:val="14"/>
              </w:rPr>
            </w:pPr>
            <w:r>
              <w:rPr>
                <w:rFonts w:hint="default" w:ascii="仿宋_GB2312" w:eastAsia="仿宋_GB2312" w:cs="仿宋_GB2312"/>
                <w:color w:val="333333"/>
                <w:sz w:val="19"/>
                <w:szCs w:val="19"/>
                <w:bdr w:val="none" w:color="auto" w:sz="0" w:space="0"/>
              </w:rPr>
              <w:t>（专业学位）</w:t>
            </w:r>
          </w:p>
        </w:tc>
        <w:tc>
          <w:tcPr>
            <w:tcW w:w="1450" w:type="dxa"/>
            <w:tcBorders>
              <w:top w:val="nil"/>
              <w:left w:val="nil"/>
              <w:bottom w:val="single" w:color="auto" w:sz="4" w:space="0"/>
              <w:right w:val="single" w:color="auto" w:sz="4" w:space="0"/>
            </w:tcBorders>
            <w:shd w:val="clear"/>
            <w:tcMar>
              <w:left w:w="70" w:type="dxa"/>
              <w:right w:w="7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175" w:lineRule="atLeast"/>
              <w:ind w:left="0" w:right="0" w:firstLine="420"/>
              <w:jc w:val="center"/>
              <w:rPr>
                <w:color w:val="333333"/>
                <w:sz w:val="14"/>
                <w:szCs w:val="14"/>
              </w:rPr>
            </w:pPr>
            <w:r>
              <w:rPr>
                <w:rFonts w:hint="eastAsia" w:ascii="仿宋" w:hAnsi="仿宋" w:eastAsia="仿宋" w:cs="仿宋"/>
                <w:color w:val="333333"/>
                <w:sz w:val="20"/>
                <w:szCs w:val="20"/>
                <w:bdr w:val="none" w:color="auto" w:sz="0" w:space="0"/>
              </w:rPr>
              <w:t>全日制</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具体调剂人数见机械工程学院网站公布。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Style w:val="6"/>
          <w:rFonts w:hint="eastAsia" w:ascii="仿宋" w:hAnsi="仿宋" w:eastAsia="仿宋" w:cs="仿宋"/>
          <w:i w:val="0"/>
          <w:iCs w:val="0"/>
          <w:caps w:val="0"/>
          <w:color w:val="000000"/>
          <w:spacing w:val="0"/>
          <w:sz w:val="20"/>
          <w:szCs w:val="20"/>
          <w:bdr w:val="none" w:color="auto" w:sz="0" w:space="0"/>
        </w:rPr>
        <w:t>五、注意事项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175" w:lineRule="atLeast"/>
        <w:ind w:left="280" w:right="0" w:firstLine="2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1.调剂信息（调剂开放时间）发布网址：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科技与研究生处：https://kjc.tsguas.edu.cn/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机械工程学院：https://jxcl.tsguas.edu.cn/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175" w:lineRule="atLeast"/>
        <w:ind w:left="280" w:right="0" w:firstLine="200"/>
        <w:jc w:val="both"/>
        <w:rPr>
          <w:color w:val="333333"/>
          <w:sz w:val="14"/>
          <w:szCs w:val="14"/>
        </w:rPr>
      </w:pPr>
      <w:r>
        <w:rPr>
          <w:rFonts w:hint="eastAsia" w:ascii="仿宋" w:hAnsi="仿宋" w:eastAsia="仿宋" w:cs="仿宋"/>
          <w:i w:val="0"/>
          <w:iCs w:val="0"/>
          <w:caps w:val="0"/>
          <w:color w:val="000000"/>
          <w:spacing w:val="0"/>
          <w:sz w:val="20"/>
          <w:szCs w:val="20"/>
          <w:bdr w:val="none" w:color="auto" w:sz="0" w:space="0"/>
        </w:rPr>
        <w:t>2.联系方式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175" w:lineRule="atLeast"/>
        <w:ind w:left="0" w:right="0" w:firstLine="400"/>
        <w:jc w:val="both"/>
        <w:rPr>
          <w:color w:val="333333"/>
          <w:sz w:val="14"/>
          <w:szCs w:val="14"/>
        </w:rPr>
      </w:pPr>
      <w:r>
        <w:rPr>
          <w:rFonts w:hint="eastAsia" w:ascii="仿宋" w:hAnsi="仿宋" w:eastAsia="仿宋" w:cs="仿宋"/>
          <w:i w:val="0"/>
          <w:iCs w:val="0"/>
          <w:caps w:val="0"/>
          <w:color w:val="333333"/>
          <w:spacing w:val="0"/>
          <w:sz w:val="20"/>
          <w:szCs w:val="20"/>
          <w:bdr w:val="none" w:color="auto" w:sz="0" w:space="0"/>
        </w:rPr>
        <w:t>联系人：戴老师、高老师，联系电话：022-28771115。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175" w:lineRule="atLeast"/>
        <w:ind w:left="280" w:right="0" w:firstLine="420"/>
        <w:jc w:val="both"/>
        <w:rPr>
          <w:color w:val="333333"/>
          <w:sz w:val="14"/>
          <w:szCs w:val="14"/>
        </w:rPr>
      </w:pPr>
      <w:r>
        <w:rPr>
          <w:rFonts w:hint="eastAsia" w:ascii="微软雅黑" w:hAnsi="微软雅黑" w:eastAsia="微软雅黑" w:cs="微软雅黑"/>
          <w:i w:val="0"/>
          <w:iCs w:val="0"/>
          <w:caps w:val="0"/>
          <w:color w:val="333333"/>
          <w:spacing w:val="0"/>
          <w:sz w:val="14"/>
          <w:szCs w:val="14"/>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352" w:afterAutospacing="0" w:line="300" w:lineRule="atLeast"/>
        <w:ind w:left="0" w:right="0" w:firstLine="420"/>
        <w:jc w:val="both"/>
        <w:rPr>
          <w:color w:val="333333"/>
          <w:sz w:val="14"/>
          <w:szCs w:val="14"/>
        </w:rPr>
      </w:pPr>
      <w:r>
        <w:rPr>
          <w:rFonts w:hint="eastAsia" w:ascii="微软雅黑" w:hAnsi="微软雅黑" w:eastAsia="微软雅黑" w:cs="微软雅黑"/>
          <w:i w:val="0"/>
          <w:iCs w:val="0"/>
          <w:caps w:val="0"/>
          <w:color w:val="333333"/>
          <w:spacing w:val="0"/>
          <w:sz w:val="14"/>
          <w:szCs w:val="14"/>
          <w:bdr w:val="none" w:color="auto" w:sz="0" w:space="0"/>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1ODBhYjk4OWY1YWUyZTQxZjc4MWFkOGM2OGMwMzIifQ=="/>
  </w:docVars>
  <w:rsids>
    <w:rsidRoot w:val="561A380F"/>
    <w:rsid w:val="561A3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2023-04-13T06:54:00Z</dcterms:created>
  <dc:creator>三千最爱排骨</dc:creator>
  <cp:lastModifiedBy>三千最爱排骨</cp:lastModifiedBy>
  <dcterms:modified xsi:type="dcterms:W3CDTF">2023-04-13T06:54:54Z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4E749C3A60ED4C93B652239520A9DA59</vt:lpwstr>
  </property>
</Properties>
</file>