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C4C" w:rsidRPr="003C4C4C" w:rsidRDefault="003C4C4C" w:rsidP="003C4C4C">
      <w:pPr>
        <w:widowControl/>
        <w:shd w:val="clear" w:color="auto" w:fill="FFFFFF"/>
        <w:spacing w:after="100" w:afterAutospacing="1"/>
        <w:jc w:val="center"/>
        <w:outlineLvl w:val="0"/>
        <w:rPr>
          <w:rFonts w:ascii="Muli" w:eastAsia="宋体" w:hAnsi="Muli" w:cs="宋体"/>
          <w:b/>
          <w:bCs/>
          <w:color w:val="1A1A1A"/>
          <w:kern w:val="36"/>
          <w:sz w:val="48"/>
          <w:szCs w:val="48"/>
        </w:rPr>
      </w:pPr>
      <w:bookmarkStart w:id="0" w:name="_GoBack"/>
      <w:r w:rsidRPr="003C4C4C">
        <w:rPr>
          <w:rFonts w:ascii="Muli" w:eastAsia="宋体" w:hAnsi="Muli" w:cs="宋体"/>
          <w:b/>
          <w:bCs/>
          <w:color w:val="1A1A1A"/>
          <w:kern w:val="36"/>
          <w:sz w:val="48"/>
          <w:szCs w:val="48"/>
        </w:rPr>
        <w:t>天津大学专业学位教育中心翻译硕士</w:t>
      </w:r>
      <w:r w:rsidRPr="003C4C4C">
        <w:rPr>
          <w:rFonts w:ascii="Muli" w:eastAsia="宋体" w:hAnsi="Muli" w:cs="宋体"/>
          <w:b/>
          <w:bCs/>
          <w:color w:val="1A1A1A"/>
          <w:kern w:val="36"/>
          <w:sz w:val="48"/>
          <w:szCs w:val="48"/>
        </w:rPr>
        <w:t>2023</w:t>
      </w:r>
      <w:r w:rsidRPr="003C4C4C">
        <w:rPr>
          <w:rFonts w:ascii="Muli" w:eastAsia="宋体" w:hAnsi="Muli" w:cs="宋体"/>
          <w:b/>
          <w:bCs/>
          <w:color w:val="1A1A1A"/>
          <w:kern w:val="36"/>
          <w:sz w:val="48"/>
          <w:szCs w:val="48"/>
        </w:rPr>
        <w:t>年非全日制硕士研究生招收调剂的通知</w:t>
      </w:r>
    </w:p>
    <w:bookmarkEnd w:id="0"/>
    <w:p w:rsidR="003C4C4C" w:rsidRPr="003C4C4C" w:rsidRDefault="003C4C4C" w:rsidP="003C4C4C">
      <w:pPr>
        <w:widowControl/>
        <w:shd w:val="clear" w:color="auto" w:fill="FFFFFF"/>
        <w:jc w:val="center"/>
        <w:rPr>
          <w:rFonts w:ascii="微软雅黑" w:eastAsia="微软雅黑" w:hAnsi="微软雅黑" w:cs="宋体"/>
          <w:color w:val="454545"/>
          <w:kern w:val="0"/>
          <w:sz w:val="23"/>
          <w:szCs w:val="23"/>
        </w:rPr>
      </w:pPr>
      <w:r w:rsidRPr="003C4C4C">
        <w:rPr>
          <w:rFonts w:ascii="微软雅黑" w:eastAsia="微软雅黑" w:hAnsi="微软雅黑" w:cs="宋体" w:hint="eastAsia"/>
          <w:color w:val="454545"/>
          <w:kern w:val="0"/>
          <w:sz w:val="23"/>
          <w:szCs w:val="23"/>
        </w:rPr>
        <w:t>2023-04-03</w:t>
      </w:r>
    </w:p>
    <w:p w:rsidR="003C4C4C" w:rsidRPr="003C4C4C" w:rsidRDefault="003C4C4C" w:rsidP="003C4C4C">
      <w:pPr>
        <w:widowControl/>
        <w:jc w:val="left"/>
        <w:rPr>
          <w:rFonts w:ascii="宋体" w:eastAsia="宋体" w:hAnsi="宋体" w:cs="宋体" w:hint="eastAsia"/>
          <w:kern w:val="0"/>
          <w:sz w:val="24"/>
          <w:szCs w:val="24"/>
        </w:rPr>
      </w:pPr>
      <w:r w:rsidRPr="003C4C4C">
        <w:rPr>
          <w:rFonts w:ascii="宋体" w:eastAsia="宋体" w:hAnsi="宋体" w:cs="宋体"/>
          <w:kern w:val="0"/>
          <w:sz w:val="24"/>
          <w:szCs w:val="24"/>
        </w:rPr>
        <w:pict>
          <v:rect id="_x0000_i1025" style="width:0;height:0" o:hrstd="t" o:hrnoshade="t" o:hr="t" fillcolor="#454545" stroked="f"/>
        </w:pict>
      </w:r>
    </w:p>
    <w:p w:rsidR="003C4C4C" w:rsidRPr="003C4C4C" w:rsidRDefault="003C4C4C" w:rsidP="003C4C4C">
      <w:pPr>
        <w:widowControl/>
        <w:shd w:val="clear" w:color="auto" w:fill="FFFFFF"/>
        <w:spacing w:after="138"/>
        <w:ind w:firstLine="480"/>
        <w:jc w:val="left"/>
        <w:rPr>
          <w:rFonts w:ascii="宋体" w:eastAsia="宋体" w:hAnsi="宋体" w:cs="宋体"/>
          <w:color w:val="454545"/>
          <w:kern w:val="0"/>
          <w:sz w:val="24"/>
          <w:szCs w:val="24"/>
        </w:rPr>
      </w:pPr>
      <w:r w:rsidRPr="003C4C4C">
        <w:rPr>
          <w:rFonts w:ascii="宋体" w:eastAsia="宋体" w:hAnsi="宋体" w:cs="宋体" w:hint="eastAsia"/>
          <w:color w:val="454545"/>
          <w:kern w:val="0"/>
          <w:sz w:val="24"/>
          <w:szCs w:val="24"/>
        </w:rPr>
        <w:t>根据教育部及天津市有关招生录取文件精神，结合我校非全日制研究生招生情况实际工作，特制定我院非全日硕士研究生调剂办法，并向广大考生公布。</w:t>
      </w:r>
      <w:r w:rsidRPr="003C4C4C">
        <w:rPr>
          <w:rFonts w:ascii="宋体" w:eastAsia="宋体" w:hAnsi="宋体" w:cs="宋体" w:hint="eastAsia"/>
          <w:color w:val="454545"/>
          <w:kern w:val="0"/>
          <w:sz w:val="24"/>
          <w:szCs w:val="24"/>
        </w:rPr>
        <w:br/>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b/>
          <w:bCs/>
          <w:color w:val="454545"/>
          <w:kern w:val="0"/>
          <w:sz w:val="24"/>
          <w:szCs w:val="24"/>
        </w:rPr>
        <w:t>一、接收调剂专业</w:t>
      </w:r>
    </w:p>
    <w:tbl>
      <w:tblPr>
        <w:tblW w:w="0" w:type="auto"/>
        <w:tblInd w:w="-10" w:type="dxa"/>
        <w:tblCellMar>
          <w:left w:w="0" w:type="dxa"/>
          <w:right w:w="0" w:type="dxa"/>
        </w:tblCellMar>
        <w:tblLook w:val="04A0" w:firstRow="1" w:lastRow="0" w:firstColumn="1" w:lastColumn="0" w:noHBand="0" w:noVBand="1"/>
      </w:tblPr>
      <w:tblGrid>
        <w:gridCol w:w="1701"/>
        <w:gridCol w:w="2694"/>
        <w:gridCol w:w="1417"/>
        <w:gridCol w:w="1985"/>
      </w:tblGrid>
      <w:tr w:rsidR="003C4C4C" w:rsidRPr="003C4C4C" w:rsidTr="003C4C4C">
        <w:trPr>
          <w:trHeight w:val="588"/>
        </w:trPr>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C4C4C" w:rsidRPr="003C4C4C" w:rsidRDefault="003C4C4C" w:rsidP="003C4C4C">
            <w:pPr>
              <w:widowControl/>
              <w:jc w:val="left"/>
              <w:rPr>
                <w:rFonts w:ascii="宋体" w:eastAsia="宋体" w:hAnsi="宋体" w:cs="宋体"/>
                <w:kern w:val="0"/>
                <w:sz w:val="24"/>
                <w:szCs w:val="24"/>
              </w:rPr>
            </w:pPr>
            <w:r w:rsidRPr="003C4C4C">
              <w:rPr>
                <w:rFonts w:ascii="宋体" w:eastAsia="宋体" w:hAnsi="宋体" w:cs="宋体" w:hint="eastAsia"/>
                <w:kern w:val="0"/>
                <w:sz w:val="24"/>
                <w:szCs w:val="24"/>
              </w:rPr>
              <w:t>专业</w:t>
            </w:r>
          </w:p>
        </w:tc>
        <w:tc>
          <w:tcPr>
            <w:tcW w:w="269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3C4C4C" w:rsidRPr="003C4C4C" w:rsidRDefault="003C4C4C" w:rsidP="003C4C4C">
            <w:pPr>
              <w:widowControl/>
              <w:jc w:val="left"/>
              <w:rPr>
                <w:rFonts w:ascii="宋体" w:eastAsia="宋体" w:hAnsi="宋体" w:cs="宋体"/>
                <w:kern w:val="0"/>
                <w:sz w:val="24"/>
                <w:szCs w:val="24"/>
              </w:rPr>
            </w:pPr>
            <w:r w:rsidRPr="003C4C4C">
              <w:rPr>
                <w:rFonts w:ascii="宋体" w:eastAsia="宋体" w:hAnsi="宋体" w:cs="宋体" w:hint="eastAsia"/>
                <w:kern w:val="0"/>
                <w:sz w:val="24"/>
                <w:szCs w:val="24"/>
              </w:rPr>
              <w:t>方向</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C4C4C" w:rsidRPr="003C4C4C" w:rsidRDefault="003C4C4C" w:rsidP="003C4C4C">
            <w:pPr>
              <w:widowControl/>
              <w:jc w:val="left"/>
              <w:rPr>
                <w:rFonts w:ascii="宋体" w:eastAsia="宋体" w:hAnsi="宋体" w:cs="宋体"/>
                <w:kern w:val="0"/>
                <w:sz w:val="24"/>
                <w:szCs w:val="24"/>
              </w:rPr>
            </w:pPr>
            <w:r w:rsidRPr="003C4C4C">
              <w:rPr>
                <w:rFonts w:ascii="宋体" w:eastAsia="宋体" w:hAnsi="宋体" w:cs="宋体" w:hint="eastAsia"/>
                <w:kern w:val="0"/>
                <w:sz w:val="24"/>
                <w:szCs w:val="24"/>
              </w:rPr>
              <w:t>学习方式</w:t>
            </w:r>
          </w:p>
        </w:tc>
        <w:tc>
          <w:tcPr>
            <w:tcW w:w="198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3C4C4C" w:rsidRPr="003C4C4C" w:rsidRDefault="003C4C4C" w:rsidP="003C4C4C">
            <w:pPr>
              <w:widowControl/>
              <w:jc w:val="left"/>
              <w:rPr>
                <w:rFonts w:ascii="宋体" w:eastAsia="宋体" w:hAnsi="宋体" w:cs="宋体"/>
                <w:kern w:val="0"/>
                <w:sz w:val="24"/>
                <w:szCs w:val="24"/>
              </w:rPr>
            </w:pPr>
            <w:r w:rsidRPr="003C4C4C">
              <w:rPr>
                <w:rFonts w:ascii="宋体" w:eastAsia="宋体" w:hAnsi="宋体" w:cs="宋体" w:hint="eastAsia"/>
                <w:kern w:val="0"/>
                <w:sz w:val="24"/>
                <w:szCs w:val="24"/>
              </w:rPr>
              <w:t>招生人数</w:t>
            </w:r>
          </w:p>
        </w:tc>
      </w:tr>
      <w:tr w:rsidR="003C4C4C" w:rsidRPr="003C4C4C" w:rsidTr="003C4C4C">
        <w:trPr>
          <w:trHeight w:val="615"/>
        </w:trPr>
        <w:tc>
          <w:tcPr>
            <w:tcW w:w="170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C4C4C" w:rsidRPr="003C4C4C" w:rsidRDefault="003C4C4C" w:rsidP="003C4C4C">
            <w:pPr>
              <w:widowControl/>
              <w:spacing w:after="138"/>
              <w:jc w:val="left"/>
              <w:rPr>
                <w:rFonts w:ascii="宋体" w:eastAsia="宋体" w:hAnsi="宋体" w:cs="宋体"/>
                <w:kern w:val="0"/>
                <w:sz w:val="24"/>
                <w:szCs w:val="24"/>
              </w:rPr>
            </w:pPr>
            <w:r w:rsidRPr="003C4C4C">
              <w:rPr>
                <w:rFonts w:ascii="宋体" w:eastAsia="宋体" w:hAnsi="宋体" w:cs="宋体" w:hint="eastAsia"/>
                <w:kern w:val="0"/>
                <w:sz w:val="24"/>
                <w:szCs w:val="24"/>
              </w:rPr>
              <w:t>翻译硕士</w:t>
            </w:r>
          </w:p>
          <w:p w:rsidR="003C4C4C" w:rsidRPr="003C4C4C" w:rsidRDefault="003C4C4C" w:rsidP="003C4C4C">
            <w:pPr>
              <w:widowControl/>
              <w:jc w:val="left"/>
              <w:rPr>
                <w:rFonts w:ascii="宋体" w:eastAsia="宋体" w:hAnsi="宋体" w:cs="宋体"/>
                <w:kern w:val="0"/>
                <w:sz w:val="24"/>
                <w:szCs w:val="24"/>
              </w:rPr>
            </w:pPr>
            <w:r w:rsidRPr="003C4C4C">
              <w:rPr>
                <w:rFonts w:ascii="宋体" w:eastAsia="宋体" w:hAnsi="宋体" w:cs="宋体" w:hint="eastAsia"/>
                <w:kern w:val="0"/>
                <w:sz w:val="24"/>
                <w:szCs w:val="24"/>
              </w:rPr>
              <w:t>（专业学位）</w:t>
            </w:r>
          </w:p>
        </w:tc>
        <w:tc>
          <w:tcPr>
            <w:tcW w:w="269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C4C4C" w:rsidRPr="003C4C4C" w:rsidRDefault="003C4C4C" w:rsidP="003C4C4C">
            <w:pPr>
              <w:widowControl/>
              <w:jc w:val="left"/>
              <w:rPr>
                <w:rFonts w:ascii="宋体" w:eastAsia="宋体" w:hAnsi="宋体" w:cs="宋体"/>
                <w:kern w:val="0"/>
                <w:sz w:val="24"/>
                <w:szCs w:val="24"/>
              </w:rPr>
            </w:pPr>
            <w:r w:rsidRPr="003C4C4C">
              <w:rPr>
                <w:rFonts w:ascii="宋体" w:eastAsia="宋体" w:hAnsi="宋体" w:cs="宋体" w:hint="eastAsia"/>
                <w:kern w:val="0"/>
                <w:sz w:val="24"/>
                <w:szCs w:val="24"/>
              </w:rPr>
              <w:t>01   不区分研究方向</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C4C4C" w:rsidRPr="003C4C4C" w:rsidRDefault="003C4C4C" w:rsidP="003C4C4C">
            <w:pPr>
              <w:widowControl/>
              <w:jc w:val="left"/>
              <w:rPr>
                <w:rFonts w:ascii="宋体" w:eastAsia="宋体" w:hAnsi="宋体" w:cs="宋体"/>
                <w:kern w:val="0"/>
                <w:sz w:val="24"/>
                <w:szCs w:val="24"/>
              </w:rPr>
            </w:pPr>
            <w:r w:rsidRPr="003C4C4C">
              <w:rPr>
                <w:rFonts w:ascii="宋体" w:eastAsia="宋体" w:hAnsi="宋体" w:cs="宋体" w:hint="eastAsia"/>
                <w:kern w:val="0"/>
                <w:sz w:val="24"/>
                <w:szCs w:val="24"/>
              </w:rPr>
              <w:t>非全日制</w:t>
            </w:r>
          </w:p>
        </w:tc>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C4C4C" w:rsidRPr="003C4C4C" w:rsidRDefault="003C4C4C" w:rsidP="003C4C4C">
            <w:pPr>
              <w:widowControl/>
              <w:jc w:val="left"/>
              <w:rPr>
                <w:rFonts w:ascii="宋体" w:eastAsia="宋体" w:hAnsi="宋体" w:cs="宋体"/>
                <w:kern w:val="0"/>
                <w:sz w:val="24"/>
                <w:szCs w:val="24"/>
              </w:rPr>
            </w:pPr>
            <w:r w:rsidRPr="003C4C4C">
              <w:rPr>
                <w:rFonts w:ascii="宋体" w:eastAsia="宋体" w:hAnsi="宋体" w:cs="宋体" w:hint="eastAsia"/>
                <w:kern w:val="0"/>
                <w:sz w:val="24"/>
                <w:szCs w:val="24"/>
              </w:rPr>
              <w:t>17</w:t>
            </w:r>
          </w:p>
        </w:tc>
      </w:tr>
    </w:tbl>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 </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b/>
          <w:bCs/>
          <w:color w:val="454545"/>
          <w:kern w:val="0"/>
          <w:sz w:val="24"/>
          <w:szCs w:val="24"/>
        </w:rPr>
        <w:t>二、调剂基本要求</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1.翻译硕士专业</w:t>
      </w:r>
      <w:r w:rsidRPr="003C4C4C">
        <w:rPr>
          <w:rFonts w:ascii="宋体" w:eastAsia="宋体" w:hAnsi="宋体" w:cs="宋体" w:hint="eastAsia"/>
          <w:color w:val="FF0000"/>
          <w:kern w:val="0"/>
          <w:sz w:val="24"/>
          <w:szCs w:val="24"/>
        </w:rPr>
        <w:t>非全</w:t>
      </w:r>
      <w:r w:rsidRPr="003C4C4C">
        <w:rPr>
          <w:rFonts w:ascii="宋体" w:eastAsia="宋体" w:hAnsi="宋体" w:cs="宋体" w:hint="eastAsia"/>
          <w:color w:val="454545"/>
          <w:kern w:val="0"/>
          <w:sz w:val="24"/>
          <w:szCs w:val="24"/>
        </w:rPr>
        <w:t>日制硕士研究生接收调剂的基本分数线如下：</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政治55分，外语55分，业务课一</w:t>
      </w:r>
      <w:proofErr w:type="gramStart"/>
      <w:r w:rsidRPr="003C4C4C">
        <w:rPr>
          <w:rFonts w:ascii="宋体" w:eastAsia="宋体" w:hAnsi="宋体" w:cs="宋体" w:hint="eastAsia"/>
          <w:color w:val="454545"/>
          <w:kern w:val="0"/>
          <w:sz w:val="24"/>
          <w:szCs w:val="24"/>
        </w:rPr>
        <w:t>90</w:t>
      </w:r>
      <w:proofErr w:type="gramEnd"/>
      <w:r w:rsidRPr="003C4C4C">
        <w:rPr>
          <w:rFonts w:ascii="宋体" w:eastAsia="宋体" w:hAnsi="宋体" w:cs="宋体" w:hint="eastAsia"/>
          <w:color w:val="454545"/>
          <w:kern w:val="0"/>
          <w:sz w:val="24"/>
          <w:szCs w:val="24"/>
        </w:rPr>
        <w:t>分，业务课二</w:t>
      </w:r>
      <w:proofErr w:type="gramStart"/>
      <w:r w:rsidRPr="003C4C4C">
        <w:rPr>
          <w:rFonts w:ascii="宋体" w:eastAsia="宋体" w:hAnsi="宋体" w:cs="宋体" w:hint="eastAsia"/>
          <w:color w:val="454545"/>
          <w:kern w:val="0"/>
          <w:sz w:val="24"/>
          <w:szCs w:val="24"/>
        </w:rPr>
        <w:t>90</w:t>
      </w:r>
      <w:proofErr w:type="gramEnd"/>
      <w:r w:rsidRPr="003C4C4C">
        <w:rPr>
          <w:rFonts w:ascii="宋体" w:eastAsia="宋体" w:hAnsi="宋体" w:cs="宋体" w:hint="eastAsia"/>
          <w:color w:val="454545"/>
          <w:kern w:val="0"/>
          <w:sz w:val="24"/>
          <w:szCs w:val="24"/>
        </w:rPr>
        <w:t>分，总分</w:t>
      </w:r>
      <w:r w:rsidRPr="003C4C4C">
        <w:rPr>
          <w:rFonts w:ascii="宋体" w:eastAsia="宋体" w:hAnsi="宋体" w:cs="宋体" w:hint="eastAsia"/>
          <w:color w:val="FF0000"/>
          <w:kern w:val="0"/>
          <w:sz w:val="24"/>
          <w:szCs w:val="24"/>
        </w:rPr>
        <w:t>363</w:t>
      </w:r>
      <w:r w:rsidRPr="003C4C4C">
        <w:rPr>
          <w:rFonts w:ascii="宋体" w:eastAsia="宋体" w:hAnsi="宋体" w:cs="宋体" w:hint="eastAsia"/>
          <w:color w:val="454545"/>
          <w:kern w:val="0"/>
          <w:sz w:val="24"/>
          <w:szCs w:val="24"/>
        </w:rPr>
        <w:t>分。</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2. 考生认可并签署《</w:t>
      </w:r>
      <w:r w:rsidRPr="003C4C4C">
        <w:rPr>
          <w:rFonts w:ascii="宋体" w:eastAsia="宋体" w:hAnsi="宋体" w:cs="宋体" w:hint="eastAsia"/>
          <w:color w:val="FF0000"/>
          <w:kern w:val="0"/>
          <w:sz w:val="24"/>
          <w:szCs w:val="24"/>
        </w:rPr>
        <w:t>非全日制硕士研究生培养方式知情承诺书</w:t>
      </w:r>
      <w:r w:rsidRPr="003C4C4C">
        <w:rPr>
          <w:rFonts w:ascii="宋体" w:eastAsia="宋体" w:hAnsi="宋体" w:cs="宋体" w:hint="eastAsia"/>
          <w:color w:val="454545"/>
          <w:kern w:val="0"/>
          <w:sz w:val="24"/>
          <w:szCs w:val="24"/>
        </w:rPr>
        <w:t>》（详见附件），且只能录取为定向生。</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3. 只接收</w:t>
      </w:r>
      <w:proofErr w:type="gramStart"/>
      <w:r w:rsidRPr="003C4C4C">
        <w:rPr>
          <w:rFonts w:ascii="宋体" w:eastAsia="宋体" w:hAnsi="宋体" w:cs="宋体" w:hint="eastAsia"/>
          <w:color w:val="454545"/>
          <w:kern w:val="0"/>
          <w:sz w:val="24"/>
          <w:szCs w:val="24"/>
        </w:rPr>
        <w:t>一</w:t>
      </w:r>
      <w:proofErr w:type="gramEnd"/>
      <w:r w:rsidRPr="003C4C4C">
        <w:rPr>
          <w:rFonts w:ascii="宋体" w:eastAsia="宋体" w:hAnsi="宋体" w:cs="宋体" w:hint="eastAsia"/>
          <w:color w:val="454545"/>
          <w:kern w:val="0"/>
          <w:sz w:val="24"/>
          <w:szCs w:val="24"/>
        </w:rPr>
        <w:t>志愿报考翻译硕士（055100）的考生调剂。</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b/>
          <w:bCs/>
          <w:color w:val="454545"/>
          <w:kern w:val="0"/>
          <w:sz w:val="24"/>
          <w:szCs w:val="24"/>
        </w:rPr>
        <w:t>三、申请办法</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所有满足调剂需求的考生，请于“全国硕士生招生调剂服务系统”专业报名通道开通后12小时内选报天津大学志愿（学院视报名情况确定是否延长接收申报时间）。</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所有列入调剂复试名单的考生（学院在国家调剂系统审核通过），均须通过硕士招生管理系统网上交费平台（</w:t>
      </w:r>
      <w:hyperlink r:id="rId7" w:history="1">
        <w:r w:rsidRPr="003C4C4C">
          <w:rPr>
            <w:rFonts w:ascii="宋体" w:eastAsia="宋体" w:hAnsi="宋体" w:cs="宋体" w:hint="eastAsia"/>
            <w:color w:val="0000FF"/>
            <w:kern w:val="0"/>
            <w:sz w:val="24"/>
            <w:szCs w:val="24"/>
            <w:u w:val="single"/>
          </w:rPr>
          <w:t>http://202.113.8.92/TGSR/index.action</w:t>
        </w:r>
      </w:hyperlink>
      <w:r w:rsidRPr="003C4C4C">
        <w:rPr>
          <w:rFonts w:ascii="宋体" w:eastAsia="宋体" w:hAnsi="宋体" w:cs="宋体" w:hint="eastAsia"/>
          <w:color w:val="454545"/>
          <w:kern w:val="0"/>
          <w:sz w:val="24"/>
          <w:szCs w:val="24"/>
        </w:rPr>
        <w:t>）及时缴费（已参加我校</w:t>
      </w:r>
      <w:proofErr w:type="gramStart"/>
      <w:r w:rsidRPr="003C4C4C">
        <w:rPr>
          <w:rFonts w:ascii="宋体" w:eastAsia="宋体" w:hAnsi="宋体" w:cs="宋体" w:hint="eastAsia"/>
          <w:color w:val="454545"/>
          <w:kern w:val="0"/>
          <w:sz w:val="24"/>
          <w:szCs w:val="24"/>
        </w:rPr>
        <w:t>一</w:t>
      </w:r>
      <w:proofErr w:type="gramEnd"/>
      <w:r w:rsidRPr="003C4C4C">
        <w:rPr>
          <w:rFonts w:ascii="宋体" w:eastAsia="宋体" w:hAnsi="宋体" w:cs="宋体" w:hint="eastAsia"/>
          <w:color w:val="454545"/>
          <w:kern w:val="0"/>
          <w:sz w:val="24"/>
          <w:szCs w:val="24"/>
        </w:rPr>
        <w:t>志愿复试的考生，无需重复缴费），复试费标准为90元。完成缴费后，考生可适时在网上下载打印《复试资格审查合格单》。资格审查所</w:t>
      </w:r>
      <w:proofErr w:type="gramStart"/>
      <w:r w:rsidRPr="003C4C4C">
        <w:rPr>
          <w:rFonts w:ascii="宋体" w:eastAsia="宋体" w:hAnsi="宋体" w:cs="宋体" w:hint="eastAsia"/>
          <w:color w:val="454545"/>
          <w:kern w:val="0"/>
          <w:sz w:val="24"/>
          <w:szCs w:val="24"/>
        </w:rPr>
        <w:t>需材料</w:t>
      </w:r>
      <w:proofErr w:type="gramEnd"/>
      <w:r w:rsidRPr="003C4C4C">
        <w:rPr>
          <w:rFonts w:ascii="宋体" w:eastAsia="宋体" w:hAnsi="宋体" w:cs="宋体" w:hint="eastAsia"/>
          <w:color w:val="454545"/>
          <w:kern w:val="0"/>
          <w:sz w:val="24"/>
          <w:szCs w:val="24"/>
        </w:rPr>
        <w:t>清单如下：</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1.《天津大学复试资格审查合格单》；</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2.本科成绩单；</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3.身份证；</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lastRenderedPageBreak/>
        <w:t>4.学历证明（往届生提供从</w:t>
      </w:r>
      <w:proofErr w:type="gramStart"/>
      <w:r w:rsidRPr="003C4C4C">
        <w:rPr>
          <w:rFonts w:ascii="宋体" w:eastAsia="宋体" w:hAnsi="宋体" w:cs="宋体" w:hint="eastAsia"/>
          <w:color w:val="454545"/>
          <w:kern w:val="0"/>
          <w:sz w:val="24"/>
          <w:szCs w:val="24"/>
        </w:rPr>
        <w:t>学信网下载</w:t>
      </w:r>
      <w:proofErr w:type="gramEnd"/>
      <w:r w:rsidRPr="003C4C4C">
        <w:rPr>
          <w:rFonts w:ascii="宋体" w:eastAsia="宋体" w:hAnsi="宋体" w:cs="宋体" w:hint="eastAsia"/>
          <w:color w:val="454545"/>
          <w:kern w:val="0"/>
          <w:sz w:val="24"/>
          <w:szCs w:val="24"/>
        </w:rPr>
        <w:t>的电子版《学历电子注册备案表》，应届生提供从</w:t>
      </w:r>
      <w:proofErr w:type="gramStart"/>
      <w:r w:rsidRPr="003C4C4C">
        <w:rPr>
          <w:rFonts w:ascii="宋体" w:eastAsia="宋体" w:hAnsi="宋体" w:cs="宋体" w:hint="eastAsia"/>
          <w:color w:val="454545"/>
          <w:kern w:val="0"/>
          <w:sz w:val="24"/>
          <w:szCs w:val="24"/>
        </w:rPr>
        <w:t>学信网下载</w:t>
      </w:r>
      <w:proofErr w:type="gramEnd"/>
      <w:r w:rsidRPr="003C4C4C">
        <w:rPr>
          <w:rFonts w:ascii="宋体" w:eastAsia="宋体" w:hAnsi="宋体" w:cs="宋体" w:hint="eastAsia"/>
          <w:color w:val="454545"/>
          <w:kern w:val="0"/>
          <w:sz w:val="24"/>
          <w:szCs w:val="24"/>
        </w:rPr>
        <w:t>的电子版《学籍在线验证报告》，自</w:t>
      </w:r>
      <w:proofErr w:type="gramStart"/>
      <w:r w:rsidRPr="003C4C4C">
        <w:rPr>
          <w:rFonts w:ascii="宋体" w:eastAsia="宋体" w:hAnsi="宋体" w:cs="宋体" w:hint="eastAsia"/>
          <w:color w:val="454545"/>
          <w:kern w:val="0"/>
          <w:sz w:val="24"/>
          <w:szCs w:val="24"/>
        </w:rPr>
        <w:t>考提供</w:t>
      </w:r>
      <w:proofErr w:type="gramEnd"/>
      <w:r w:rsidRPr="003C4C4C">
        <w:rPr>
          <w:rFonts w:ascii="宋体" w:eastAsia="宋体" w:hAnsi="宋体" w:cs="宋体" w:hint="eastAsia"/>
          <w:color w:val="454545"/>
          <w:kern w:val="0"/>
          <w:sz w:val="24"/>
          <w:szCs w:val="24"/>
        </w:rPr>
        <w:t>自考准考证，海外学历提供教育部留学服务中心认证）；</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FF0000"/>
          <w:kern w:val="0"/>
          <w:sz w:val="24"/>
          <w:szCs w:val="24"/>
        </w:rPr>
        <w:t>5.非全日制硕士研究生培养方式知情承诺书</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  以上材料均需提交</w:t>
      </w:r>
      <w:proofErr w:type="gramStart"/>
      <w:r w:rsidRPr="003C4C4C">
        <w:rPr>
          <w:rFonts w:ascii="宋体" w:eastAsia="宋体" w:hAnsi="宋体" w:cs="宋体" w:hint="eastAsia"/>
          <w:color w:val="454545"/>
          <w:kern w:val="0"/>
          <w:sz w:val="24"/>
          <w:szCs w:val="24"/>
        </w:rPr>
        <w:t>清晰版</w:t>
      </w:r>
      <w:proofErr w:type="gramEnd"/>
      <w:r w:rsidRPr="003C4C4C">
        <w:rPr>
          <w:rFonts w:ascii="宋体" w:eastAsia="宋体" w:hAnsi="宋体" w:cs="宋体" w:hint="eastAsia"/>
          <w:color w:val="454545"/>
          <w:kern w:val="0"/>
          <w:sz w:val="24"/>
          <w:szCs w:val="24"/>
        </w:rPr>
        <w:t>照片或</w:t>
      </w:r>
      <w:proofErr w:type="gramStart"/>
      <w:r w:rsidRPr="003C4C4C">
        <w:rPr>
          <w:rFonts w:ascii="宋体" w:eastAsia="宋体" w:hAnsi="宋体" w:cs="宋体" w:hint="eastAsia"/>
          <w:color w:val="454545"/>
          <w:kern w:val="0"/>
          <w:sz w:val="24"/>
          <w:szCs w:val="24"/>
        </w:rPr>
        <w:t>扫描件至学院</w:t>
      </w:r>
      <w:proofErr w:type="gramEnd"/>
      <w:r w:rsidRPr="003C4C4C">
        <w:rPr>
          <w:rFonts w:ascii="宋体" w:eastAsia="宋体" w:hAnsi="宋体" w:cs="宋体" w:hint="eastAsia"/>
          <w:color w:val="454545"/>
          <w:kern w:val="0"/>
          <w:sz w:val="24"/>
          <w:szCs w:val="24"/>
        </w:rPr>
        <w:t>进行资格审查，考生需于考生于调剂复试前48小时内将电子版材料以压缩</w:t>
      </w:r>
      <w:proofErr w:type="gramStart"/>
      <w:r w:rsidRPr="003C4C4C">
        <w:rPr>
          <w:rFonts w:ascii="宋体" w:eastAsia="宋体" w:hAnsi="宋体" w:cs="宋体" w:hint="eastAsia"/>
          <w:color w:val="454545"/>
          <w:kern w:val="0"/>
          <w:sz w:val="24"/>
          <w:szCs w:val="24"/>
        </w:rPr>
        <w:t>包形式</w:t>
      </w:r>
      <w:proofErr w:type="gramEnd"/>
      <w:r w:rsidRPr="003C4C4C">
        <w:rPr>
          <w:rFonts w:ascii="宋体" w:eastAsia="宋体" w:hAnsi="宋体" w:cs="宋体" w:hint="eastAsia"/>
          <w:color w:val="454545"/>
          <w:kern w:val="0"/>
          <w:sz w:val="24"/>
          <w:szCs w:val="24"/>
        </w:rPr>
        <w:t>发送至sfll@tju.edu.cn进行资格审核，邮件主题及附件命名方式为“考生编号-姓名-资格审查”。</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FF0000"/>
          <w:kern w:val="0"/>
          <w:sz w:val="24"/>
          <w:szCs w:val="24"/>
        </w:rPr>
        <w:t>特别提示：</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FF0000"/>
          <w:kern w:val="0"/>
          <w:sz w:val="24"/>
          <w:szCs w:val="24"/>
        </w:rPr>
        <w:t>1.若身份证丢失，须提交临时身份证原件（有效期内）或公安机关开具的户籍证明原件（贴有本人近期一寸免冠照片、盖骑缝章）。</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FF0000"/>
          <w:kern w:val="0"/>
          <w:sz w:val="24"/>
          <w:szCs w:val="24"/>
        </w:rPr>
        <w:t>2.是否可参加复试请查看我院公布的复试名单。</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FF0000"/>
          <w:kern w:val="0"/>
          <w:sz w:val="24"/>
          <w:szCs w:val="24"/>
        </w:rPr>
        <w:t>3.复试结束后，凡未进行资格审查或资格审查未通过的考生一律不予录取。</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b/>
          <w:bCs/>
          <w:color w:val="454545"/>
          <w:kern w:val="0"/>
          <w:sz w:val="24"/>
          <w:szCs w:val="24"/>
        </w:rPr>
        <w:t>四、调剂规则</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1. 我院将根据报名情况组织专业审核和筛选后，确定进入调剂复试名单。</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2. 原则上考生考试科目及内容与天津大学外国语学院翻译硕士专业相同或相近者优先。</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b/>
          <w:bCs/>
          <w:color w:val="454545"/>
          <w:kern w:val="0"/>
          <w:sz w:val="24"/>
          <w:szCs w:val="24"/>
        </w:rPr>
        <w:t>五、调剂复试方案</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1.复试方式：网络远程复试</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（1）复试时间：请关注调剂系统及学院后续通知</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（2）复试平台：</w:t>
      </w:r>
      <w:proofErr w:type="gramStart"/>
      <w:r w:rsidRPr="003C4C4C">
        <w:rPr>
          <w:rFonts w:ascii="宋体" w:eastAsia="宋体" w:hAnsi="宋体" w:cs="宋体" w:hint="eastAsia"/>
          <w:color w:val="454545"/>
          <w:kern w:val="0"/>
          <w:sz w:val="24"/>
          <w:szCs w:val="24"/>
        </w:rPr>
        <w:t>选用腾讯会议</w:t>
      </w:r>
      <w:proofErr w:type="gramEnd"/>
      <w:r w:rsidRPr="003C4C4C">
        <w:rPr>
          <w:rFonts w:ascii="宋体" w:eastAsia="宋体" w:hAnsi="宋体" w:cs="宋体" w:hint="eastAsia"/>
          <w:color w:val="454545"/>
          <w:kern w:val="0"/>
          <w:sz w:val="24"/>
          <w:szCs w:val="24"/>
        </w:rPr>
        <w:t>作为网络远程复试平台</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注：</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①所有考生在经过国家调剂系统初选，从系统内收到调剂通知后再行缴费；</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②缴费后因各种原因不能参加复试者，已支付的复试费不退。已经缴纳复试费的考生，参加校内调剂复试不必重复缴费。</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2. 复试内容</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所有复试环节采用网络视频方式</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Part I：实践能力测试、综合面试（I）（理论联系实践等能力考核）。其中2分钟英文自我介绍（主要涉及英语学术、翻译实践、科研能力和社会实践等内容）。</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Part II：英语听说能力测试、综合面试（II）（综合素质和能力考核）。</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Part III:专业课测试（句群英汉互译能力考核）、综合面试（III）（思想品德素养考核）。</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以上三部分均为考生抽题作答。</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每个考生总计复试时长一般为30分钟左右，具体时长可由复试专家组根据复试情况适当调整。</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lastRenderedPageBreak/>
        <w:t>3．计分规则</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复试成绩总分200，其中专业能力考核80分，综合素质考核120分。专业能力考核成绩包括外语听说能力测试15分、专业课测试65分；综合素质考核成绩包括实验（实践）能力测试30分、综合面试90分。</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考生复试成绩应包括专业能力考核、综合素质考核两部分成绩之和，复试成绩低于120分视为复试成绩不合格。</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4、录取规则</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录取时按照考生总成绩从高到低进行名次排序，若总成绩相同，按照复试成绩从高到低排序，调剂考生可根据复试批次，分批次排名，分批次录取。</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考生总成绩计算公式为：</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考生总成绩=（初试总成绩÷2.5）×60% +复试总成绩×40%</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凡未进行资格审查或资格审查未通过的考生一律不予录取。</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没有参加复试或者复试总成绩不合格的考生将不予录取。</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5、时间安排</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学院将视考生报名情况及时组织复试工作，具体时间请关注外国语学院网站具体通知。</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b/>
          <w:bCs/>
          <w:color w:val="454545"/>
          <w:kern w:val="0"/>
          <w:sz w:val="24"/>
          <w:szCs w:val="24"/>
        </w:rPr>
        <w:t>六、其他事宜</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1. 如本通知与天津大学招生复试工作有不符之处，一律按照学校文件执行，解释权在天津大学外国语学院。</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2. 有关调剂的具体要求及后续通知，请考生关注天津大学外国语学院网站。</w:t>
      </w:r>
    </w:p>
    <w:p w:rsidR="003C4C4C" w:rsidRPr="003C4C4C" w:rsidRDefault="003C4C4C" w:rsidP="003C4C4C">
      <w:pPr>
        <w:widowControl/>
        <w:shd w:val="clear" w:color="auto" w:fill="FFFFFF"/>
        <w:spacing w:after="138"/>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3. 考生调剂复试后必须通过教育部指定的“全国硕士生招生调剂服务系统”最终确认方能录取。</w:t>
      </w:r>
    </w:p>
    <w:p w:rsidR="003C4C4C" w:rsidRPr="003C4C4C" w:rsidRDefault="003C4C4C" w:rsidP="003C4C4C">
      <w:pPr>
        <w:widowControl/>
        <w:shd w:val="clear" w:color="auto" w:fill="FFFFFF"/>
        <w:jc w:val="left"/>
        <w:rPr>
          <w:rFonts w:ascii="宋体" w:eastAsia="宋体" w:hAnsi="宋体" w:cs="宋体" w:hint="eastAsia"/>
          <w:color w:val="454545"/>
          <w:kern w:val="0"/>
          <w:sz w:val="24"/>
          <w:szCs w:val="24"/>
        </w:rPr>
      </w:pPr>
      <w:r w:rsidRPr="003C4C4C">
        <w:rPr>
          <w:rFonts w:ascii="宋体" w:eastAsia="宋体" w:hAnsi="宋体" w:cs="宋体" w:hint="eastAsia"/>
          <w:color w:val="454545"/>
          <w:kern w:val="0"/>
          <w:sz w:val="24"/>
          <w:szCs w:val="24"/>
        </w:rPr>
        <w:t>咨询及申诉渠道：天津大学外国语学院，电话：022-27403124</w:t>
      </w:r>
    </w:p>
    <w:p w:rsidR="00700C8C" w:rsidRPr="003C4C4C" w:rsidRDefault="00700C8C"/>
    <w:sectPr w:rsidR="00700C8C" w:rsidRPr="003C4C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6F3" w:rsidRDefault="004046F3" w:rsidP="003C4C4C">
      <w:r>
        <w:separator/>
      </w:r>
    </w:p>
  </w:endnote>
  <w:endnote w:type="continuationSeparator" w:id="0">
    <w:p w:rsidR="004046F3" w:rsidRDefault="004046F3" w:rsidP="003C4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uli">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6F3" w:rsidRDefault="004046F3" w:rsidP="003C4C4C">
      <w:r>
        <w:separator/>
      </w:r>
    </w:p>
  </w:footnote>
  <w:footnote w:type="continuationSeparator" w:id="0">
    <w:p w:rsidR="004046F3" w:rsidRDefault="004046F3" w:rsidP="003C4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494"/>
    <w:rsid w:val="003C4C4C"/>
    <w:rsid w:val="004046F3"/>
    <w:rsid w:val="00700C8C"/>
    <w:rsid w:val="00E61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C4C4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4C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4C4C"/>
    <w:rPr>
      <w:sz w:val="18"/>
      <w:szCs w:val="18"/>
    </w:rPr>
  </w:style>
  <w:style w:type="paragraph" w:styleId="a4">
    <w:name w:val="footer"/>
    <w:basedOn w:val="a"/>
    <w:link w:val="Char0"/>
    <w:uiPriority w:val="99"/>
    <w:unhideWhenUsed/>
    <w:rsid w:val="003C4C4C"/>
    <w:pPr>
      <w:tabs>
        <w:tab w:val="center" w:pos="4153"/>
        <w:tab w:val="right" w:pos="8306"/>
      </w:tabs>
      <w:snapToGrid w:val="0"/>
      <w:jc w:val="left"/>
    </w:pPr>
    <w:rPr>
      <w:sz w:val="18"/>
      <w:szCs w:val="18"/>
    </w:rPr>
  </w:style>
  <w:style w:type="character" w:customStyle="1" w:styleId="Char0">
    <w:name w:val="页脚 Char"/>
    <w:basedOn w:val="a0"/>
    <w:link w:val="a4"/>
    <w:uiPriority w:val="99"/>
    <w:rsid w:val="003C4C4C"/>
    <w:rPr>
      <w:sz w:val="18"/>
      <w:szCs w:val="18"/>
    </w:rPr>
  </w:style>
  <w:style w:type="character" w:customStyle="1" w:styleId="1Char">
    <w:name w:val="标题 1 Char"/>
    <w:basedOn w:val="a0"/>
    <w:link w:val="1"/>
    <w:uiPriority w:val="9"/>
    <w:rsid w:val="003C4C4C"/>
    <w:rPr>
      <w:rFonts w:ascii="宋体" w:eastAsia="宋体" w:hAnsi="宋体" w:cs="宋体"/>
      <w:b/>
      <w:bCs/>
      <w:kern w:val="36"/>
      <w:sz w:val="48"/>
      <w:szCs w:val="48"/>
    </w:rPr>
  </w:style>
  <w:style w:type="paragraph" w:styleId="a5">
    <w:name w:val="Normal (Web)"/>
    <w:basedOn w:val="a"/>
    <w:uiPriority w:val="99"/>
    <w:unhideWhenUsed/>
    <w:rsid w:val="003C4C4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C4C4C"/>
    <w:rPr>
      <w:b/>
      <w:bCs/>
    </w:rPr>
  </w:style>
  <w:style w:type="character" w:styleId="a7">
    <w:name w:val="Hyperlink"/>
    <w:basedOn w:val="a0"/>
    <w:uiPriority w:val="99"/>
    <w:semiHidden/>
    <w:unhideWhenUsed/>
    <w:rsid w:val="003C4C4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C4C4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4C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4C4C"/>
    <w:rPr>
      <w:sz w:val="18"/>
      <w:szCs w:val="18"/>
    </w:rPr>
  </w:style>
  <w:style w:type="paragraph" w:styleId="a4">
    <w:name w:val="footer"/>
    <w:basedOn w:val="a"/>
    <w:link w:val="Char0"/>
    <w:uiPriority w:val="99"/>
    <w:unhideWhenUsed/>
    <w:rsid w:val="003C4C4C"/>
    <w:pPr>
      <w:tabs>
        <w:tab w:val="center" w:pos="4153"/>
        <w:tab w:val="right" w:pos="8306"/>
      </w:tabs>
      <w:snapToGrid w:val="0"/>
      <w:jc w:val="left"/>
    </w:pPr>
    <w:rPr>
      <w:sz w:val="18"/>
      <w:szCs w:val="18"/>
    </w:rPr>
  </w:style>
  <w:style w:type="character" w:customStyle="1" w:styleId="Char0">
    <w:name w:val="页脚 Char"/>
    <w:basedOn w:val="a0"/>
    <w:link w:val="a4"/>
    <w:uiPriority w:val="99"/>
    <w:rsid w:val="003C4C4C"/>
    <w:rPr>
      <w:sz w:val="18"/>
      <w:szCs w:val="18"/>
    </w:rPr>
  </w:style>
  <w:style w:type="character" w:customStyle="1" w:styleId="1Char">
    <w:name w:val="标题 1 Char"/>
    <w:basedOn w:val="a0"/>
    <w:link w:val="1"/>
    <w:uiPriority w:val="9"/>
    <w:rsid w:val="003C4C4C"/>
    <w:rPr>
      <w:rFonts w:ascii="宋体" w:eastAsia="宋体" w:hAnsi="宋体" w:cs="宋体"/>
      <w:b/>
      <w:bCs/>
      <w:kern w:val="36"/>
      <w:sz w:val="48"/>
      <w:szCs w:val="48"/>
    </w:rPr>
  </w:style>
  <w:style w:type="paragraph" w:styleId="a5">
    <w:name w:val="Normal (Web)"/>
    <w:basedOn w:val="a"/>
    <w:uiPriority w:val="99"/>
    <w:unhideWhenUsed/>
    <w:rsid w:val="003C4C4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C4C4C"/>
    <w:rPr>
      <w:b/>
      <w:bCs/>
    </w:rPr>
  </w:style>
  <w:style w:type="character" w:styleId="a7">
    <w:name w:val="Hyperlink"/>
    <w:basedOn w:val="a0"/>
    <w:uiPriority w:val="99"/>
    <w:semiHidden/>
    <w:unhideWhenUsed/>
    <w:rsid w:val="003C4C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561694">
      <w:bodyDiv w:val="1"/>
      <w:marLeft w:val="0"/>
      <w:marRight w:val="0"/>
      <w:marTop w:val="0"/>
      <w:marBottom w:val="0"/>
      <w:divBdr>
        <w:top w:val="none" w:sz="0" w:space="0" w:color="auto"/>
        <w:left w:val="none" w:sz="0" w:space="0" w:color="auto"/>
        <w:bottom w:val="none" w:sz="0" w:space="0" w:color="auto"/>
        <w:right w:val="none" w:sz="0" w:space="0" w:color="auto"/>
      </w:divBdr>
      <w:divsChild>
        <w:div w:id="1624389068">
          <w:marLeft w:val="0"/>
          <w:marRight w:val="0"/>
          <w:marTop w:val="0"/>
          <w:marBottom w:val="0"/>
          <w:divBdr>
            <w:top w:val="none" w:sz="0" w:space="0" w:color="auto"/>
            <w:left w:val="none" w:sz="0" w:space="0" w:color="auto"/>
            <w:bottom w:val="none" w:sz="0" w:space="0" w:color="auto"/>
            <w:right w:val="none" w:sz="0" w:space="0" w:color="auto"/>
          </w:divBdr>
          <w:divsChild>
            <w:div w:id="144391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02.113.8.92/TGSR/index.acti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2023-04-06T08:32:00Z</dcterms:created>
  <dcterms:modified xsi:type="dcterms:W3CDTF">2023-04-06T08:32:00Z</dcterms:modified>
</cp:coreProperties>
</file>