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12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nil"/>
              <w:left w:val="nil"/>
              <w:bottom w:val="nil"/>
              <w:right w:val="nil"/>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kern w:val="0"/>
                <w:sz w:val="24"/>
                <w:szCs w:val="24"/>
                <w:bdr w:val="none" w:color="auto" w:sz="0" w:space="0"/>
                <w:lang w:val="en-US" w:eastAsia="zh-CN" w:bidi="ar"/>
              </w:rPr>
              <w:t>【2023年硕士研究生复试】——天津理工大学新能源材料与低碳技术研究院2023年硕士研究生招生调剂信息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00" w:hRule="atLeast"/>
        </w:trPr>
        <w:tc>
          <w:tcPr>
            <w:tcW w:w="0" w:type="auto"/>
            <w:tcBorders>
              <w:top w:val="nil"/>
              <w:left w:val="nil"/>
              <w:bottom w:val="nil"/>
              <w:right w:val="nil"/>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kern w:val="0"/>
                <w:sz w:val="18"/>
                <w:szCs w:val="18"/>
                <w:bdr w:val="none" w:color="auto" w:sz="0" w:space="0"/>
                <w:lang w:val="en-US" w:eastAsia="zh-CN" w:bidi="ar"/>
              </w:rPr>
              <w:t>2023-04-03 17:08</w:t>
            </w:r>
            <w:r>
              <w:rPr>
                <w:rFonts w:hint="eastAsia" w:ascii="宋体" w:hAnsi="宋体" w:eastAsia="宋体" w:cs="宋体"/>
                <w:i w:val="0"/>
                <w:iCs w:val="0"/>
                <w:caps w:val="0"/>
                <w:color w:val="000000"/>
                <w:spacing w:val="0"/>
                <w:kern w:val="0"/>
                <w:sz w:val="12"/>
                <w:szCs w:val="12"/>
                <w:bdr w:val="none" w:color="auto" w:sz="0" w:space="0"/>
                <w:lang w:val="en-US" w:eastAsia="zh-CN" w:bidi="ar"/>
              </w:rPr>
              <w:t> </w:t>
            </w:r>
            <w:r>
              <w:rPr>
                <w:rFonts w:hint="eastAsia" w:ascii="宋体" w:hAnsi="宋体" w:eastAsia="宋体" w:cs="宋体"/>
                <w:i w:val="0"/>
                <w:iCs w:val="0"/>
                <w:caps w:val="0"/>
                <w:color w:val="000000"/>
                <w:spacing w:val="0"/>
                <w:kern w:val="0"/>
                <w:sz w:val="18"/>
                <w:szCs w:val="18"/>
                <w:bdr w:val="none" w:color="auto" w:sz="0" w:space="0"/>
                <w:lang w:val="en-US" w:eastAsia="zh-CN" w:bidi="ar"/>
              </w:rPr>
              <w:t>  </w:t>
            </w:r>
            <w:r>
              <w:rPr>
                <w:rFonts w:hint="eastAsia" w:ascii="宋体" w:hAnsi="宋体" w:eastAsia="宋体" w:cs="宋体"/>
                <w:i w:val="0"/>
                <w:iCs w:val="0"/>
                <w:caps w:val="0"/>
                <w:color w:val="000000"/>
                <w:spacing w:val="0"/>
                <w:kern w:val="0"/>
                <w:sz w:val="12"/>
                <w:szCs w:val="12"/>
                <w:bdr w:val="none" w:color="auto" w:sz="0" w:space="0"/>
                <w:lang w:val="en-US" w:eastAsia="zh-CN" w:bidi="ar"/>
              </w:rPr>
              <w:t>审核人：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nil"/>
              <w:left w:val="nil"/>
              <w:bottom w:val="nil"/>
              <w:right w:val="nil"/>
            </w:tcBorders>
            <w:shd w:val="clear" w:color="auto" w:fill="FFFFFF"/>
            <w:vAlign w:val="center"/>
          </w:tcPr>
          <w:p>
            <w:pPr>
              <w:jc w:val="right"/>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nil"/>
              <w:left w:val="nil"/>
              <w:bottom w:val="nil"/>
              <w:right w:val="nil"/>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pPr>
            <w:r>
              <w:rPr>
                <w:rFonts w:hint="eastAsia" w:ascii="宋体" w:hAnsi="宋体" w:eastAsia="宋体" w:cs="宋体"/>
                <w:i w:val="0"/>
                <w:iCs w:val="0"/>
                <w:caps w:val="0"/>
                <w:color w:val="000000"/>
                <w:spacing w:val="0"/>
                <w:sz w:val="16"/>
                <w:szCs w:val="16"/>
                <w:bdr w:val="none" w:color="auto" w:sz="0" w:space="0"/>
              </w:rPr>
              <w:t> </w:t>
            </w:r>
          </w:p>
          <w:tbl>
            <w:tblPr>
              <w:tblW w:w="558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03"/>
              <w:gridCol w:w="473"/>
              <w:gridCol w:w="403"/>
              <w:gridCol w:w="273"/>
              <w:gridCol w:w="250"/>
              <w:gridCol w:w="1040"/>
              <w:gridCol w:w="27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70" w:hRule="atLeast"/>
              </w:trPr>
              <w:tc>
                <w:tcPr>
                  <w:tcW w:w="109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16"/>
                      <w:szCs w:val="16"/>
                    </w:rPr>
                  </w:pPr>
                  <w:r>
                    <w:rPr>
                      <w:rStyle w:val="5"/>
                      <w:rFonts w:ascii="宋体" w:hAnsi="宋体" w:eastAsia="宋体" w:cs="宋体"/>
                      <w:kern w:val="0"/>
                      <w:sz w:val="12"/>
                      <w:szCs w:val="12"/>
                      <w:bdr w:val="none" w:color="auto" w:sz="0" w:space="0"/>
                      <w:lang w:val="en-US" w:eastAsia="zh-CN" w:bidi="ar"/>
                    </w:rPr>
                    <w:t>学院</w:t>
                  </w:r>
                </w:p>
              </w:tc>
              <w:tc>
                <w:tcPr>
                  <w:tcW w:w="63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16"/>
                      <w:szCs w:val="16"/>
                    </w:rPr>
                  </w:pPr>
                  <w:r>
                    <w:rPr>
                      <w:rStyle w:val="5"/>
                      <w:rFonts w:ascii="宋体" w:hAnsi="宋体" w:eastAsia="宋体" w:cs="宋体"/>
                      <w:kern w:val="0"/>
                      <w:sz w:val="12"/>
                      <w:szCs w:val="12"/>
                      <w:bdr w:val="none" w:color="auto" w:sz="0" w:space="0"/>
                      <w:lang w:val="en-US" w:eastAsia="zh-CN" w:bidi="ar"/>
                    </w:rPr>
                    <w:t>专业代码</w:t>
                  </w:r>
                </w:p>
              </w:tc>
              <w:tc>
                <w:tcPr>
                  <w:tcW w:w="109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16"/>
                      <w:szCs w:val="16"/>
                    </w:rPr>
                  </w:pPr>
                  <w:r>
                    <w:rPr>
                      <w:rStyle w:val="5"/>
                      <w:rFonts w:ascii="宋体" w:hAnsi="宋体" w:eastAsia="宋体" w:cs="宋体"/>
                      <w:kern w:val="0"/>
                      <w:sz w:val="12"/>
                      <w:szCs w:val="12"/>
                      <w:bdr w:val="none" w:color="auto" w:sz="0" w:space="0"/>
                      <w:lang w:val="en-US" w:eastAsia="zh-CN" w:bidi="ar"/>
                    </w:rPr>
                    <w:t>专业名称</w:t>
                  </w:r>
                </w:p>
              </w:tc>
              <w:tc>
                <w:tcPr>
                  <w:tcW w:w="63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16"/>
                      <w:szCs w:val="16"/>
                    </w:rPr>
                  </w:pPr>
                  <w:r>
                    <w:rPr>
                      <w:rStyle w:val="5"/>
                      <w:rFonts w:ascii="宋体" w:hAnsi="宋体" w:eastAsia="宋体" w:cs="宋体"/>
                      <w:kern w:val="0"/>
                      <w:sz w:val="12"/>
                      <w:szCs w:val="12"/>
                      <w:bdr w:val="none" w:color="auto" w:sz="0" w:space="0"/>
                      <w:lang w:val="en-US" w:eastAsia="zh-CN" w:bidi="ar"/>
                    </w:rPr>
                    <w:t>学习方式</w:t>
                  </w:r>
                </w:p>
              </w:tc>
              <w:tc>
                <w:tcPr>
                  <w:tcW w:w="55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16"/>
                      <w:szCs w:val="16"/>
                    </w:rPr>
                  </w:pPr>
                  <w:r>
                    <w:rPr>
                      <w:rStyle w:val="5"/>
                      <w:rFonts w:ascii="宋体" w:hAnsi="宋体" w:eastAsia="宋体" w:cs="宋体"/>
                      <w:kern w:val="0"/>
                      <w:sz w:val="12"/>
                      <w:szCs w:val="12"/>
                      <w:bdr w:val="none" w:color="auto" w:sz="0" w:space="0"/>
                      <w:lang w:val="en-US" w:eastAsia="zh-CN" w:bidi="ar"/>
                    </w:rPr>
                    <w:t>是否接受调剂</w:t>
                  </w:r>
                </w:p>
              </w:tc>
              <w:tc>
                <w:tcPr>
                  <w:tcW w:w="303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16"/>
                      <w:szCs w:val="16"/>
                    </w:rPr>
                  </w:pPr>
                  <w:r>
                    <w:rPr>
                      <w:rStyle w:val="5"/>
                      <w:rFonts w:ascii="宋体" w:hAnsi="宋体" w:eastAsia="宋体" w:cs="宋体"/>
                      <w:kern w:val="0"/>
                      <w:sz w:val="12"/>
                      <w:szCs w:val="12"/>
                      <w:bdr w:val="none" w:color="auto" w:sz="0" w:space="0"/>
                      <w:lang w:val="en-US" w:eastAsia="zh-CN" w:bidi="ar"/>
                    </w:rPr>
                    <w:t>调剂学术背景</w:t>
                  </w:r>
                </w:p>
              </w:tc>
              <w:tc>
                <w:tcPr>
                  <w:tcW w:w="312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16"/>
                      <w:szCs w:val="16"/>
                    </w:rPr>
                  </w:pPr>
                  <w:r>
                    <w:rPr>
                      <w:rStyle w:val="5"/>
                      <w:rFonts w:ascii="宋体" w:hAnsi="宋体" w:eastAsia="宋体" w:cs="宋体"/>
                      <w:kern w:val="0"/>
                      <w:sz w:val="12"/>
                      <w:szCs w:val="12"/>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70" w:hRule="atLeast"/>
              </w:trPr>
              <w:tc>
                <w:tcPr>
                  <w:tcW w:w="1090"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16"/>
                      <w:szCs w:val="16"/>
                    </w:rPr>
                  </w:pPr>
                  <w:r>
                    <w:rPr>
                      <w:rFonts w:ascii="宋体" w:hAnsi="宋体" w:eastAsia="宋体" w:cs="宋体"/>
                      <w:kern w:val="0"/>
                      <w:sz w:val="12"/>
                      <w:szCs w:val="12"/>
                      <w:bdr w:val="none" w:color="auto" w:sz="0" w:space="0"/>
                      <w:lang w:val="en-US" w:eastAsia="zh-CN" w:bidi="ar"/>
                    </w:rPr>
                    <w:t>新能源材料与低碳技术研究院</w:t>
                  </w:r>
                </w:p>
              </w:tc>
              <w:tc>
                <w:tcPr>
                  <w:tcW w:w="63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16"/>
                      <w:szCs w:val="16"/>
                    </w:rPr>
                  </w:pPr>
                  <w:r>
                    <w:rPr>
                      <w:rFonts w:ascii="Arial" w:hAnsi="Arial" w:eastAsia="宋体" w:cs="Arial"/>
                      <w:kern w:val="0"/>
                      <w:sz w:val="12"/>
                      <w:szCs w:val="12"/>
                      <w:bdr w:val="none" w:color="auto" w:sz="0" w:space="0"/>
                      <w:lang w:val="en-US" w:eastAsia="zh-CN" w:bidi="ar"/>
                    </w:rPr>
                    <w:t>080500</w:t>
                  </w:r>
                </w:p>
              </w:tc>
              <w:tc>
                <w:tcPr>
                  <w:tcW w:w="109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16"/>
                      <w:szCs w:val="16"/>
                    </w:rPr>
                  </w:pPr>
                  <w:r>
                    <w:rPr>
                      <w:rFonts w:ascii="宋体" w:hAnsi="宋体" w:eastAsia="宋体" w:cs="宋体"/>
                      <w:kern w:val="0"/>
                      <w:sz w:val="12"/>
                      <w:szCs w:val="12"/>
                      <w:bdr w:val="none" w:color="auto" w:sz="0" w:space="0"/>
                      <w:lang w:val="en-US" w:eastAsia="zh-CN" w:bidi="ar"/>
                    </w:rPr>
                    <w:t>材料科学与工程</w:t>
                  </w:r>
                </w:p>
              </w:tc>
              <w:tc>
                <w:tcPr>
                  <w:tcW w:w="63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16"/>
                      <w:szCs w:val="16"/>
                    </w:rPr>
                  </w:pPr>
                  <w:r>
                    <w:rPr>
                      <w:rFonts w:ascii="宋体" w:hAnsi="宋体" w:eastAsia="宋体" w:cs="宋体"/>
                      <w:kern w:val="0"/>
                      <w:sz w:val="12"/>
                      <w:szCs w:val="12"/>
                      <w:bdr w:val="none" w:color="auto" w:sz="0" w:space="0"/>
                      <w:lang w:val="en-US" w:eastAsia="zh-CN" w:bidi="ar"/>
                    </w:rPr>
                    <w:t>全日制</w:t>
                  </w:r>
                </w:p>
              </w:tc>
              <w:tc>
                <w:tcPr>
                  <w:tcW w:w="55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16"/>
                      <w:szCs w:val="16"/>
                    </w:rPr>
                  </w:pPr>
                  <w:r>
                    <w:rPr>
                      <w:rFonts w:ascii="宋体" w:hAnsi="宋体" w:eastAsia="宋体" w:cs="宋体"/>
                      <w:kern w:val="0"/>
                      <w:sz w:val="12"/>
                      <w:szCs w:val="12"/>
                      <w:bdr w:val="none" w:color="auto" w:sz="0" w:space="0"/>
                      <w:lang w:val="en-US" w:eastAsia="zh-CN" w:bidi="ar"/>
                    </w:rPr>
                    <w:t>是</w:t>
                  </w:r>
                </w:p>
              </w:tc>
              <w:tc>
                <w:tcPr>
                  <w:tcW w:w="303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16"/>
                      <w:szCs w:val="16"/>
                    </w:rPr>
                  </w:pPr>
                  <w:r>
                    <w:rPr>
                      <w:rFonts w:ascii="宋体" w:hAnsi="宋体" w:eastAsia="宋体" w:cs="宋体"/>
                      <w:kern w:val="0"/>
                      <w:sz w:val="12"/>
                      <w:szCs w:val="12"/>
                      <w:bdr w:val="none" w:color="auto" w:sz="0" w:space="0"/>
                      <w:lang w:val="en-US" w:eastAsia="zh-CN" w:bidi="ar"/>
                    </w:rPr>
                    <w:t>本科期间修过无机化学、物理化学等与化学相关的课程</w:t>
                  </w:r>
                  <w:r>
                    <w:rPr>
                      <w:rFonts w:hint="default" w:ascii="Arial" w:hAnsi="Arial" w:eastAsia="宋体" w:cs="Arial"/>
                      <w:kern w:val="0"/>
                      <w:sz w:val="12"/>
                      <w:szCs w:val="12"/>
                      <w:bdr w:val="none" w:color="auto" w:sz="0" w:space="0"/>
                      <w:lang w:val="en-US" w:eastAsia="zh-CN" w:bidi="ar"/>
                    </w:rPr>
                    <w:t>1</w:t>
                  </w:r>
                  <w:r>
                    <w:rPr>
                      <w:rFonts w:ascii="宋体" w:hAnsi="宋体" w:eastAsia="宋体" w:cs="宋体"/>
                      <w:kern w:val="0"/>
                      <w:sz w:val="12"/>
                      <w:szCs w:val="12"/>
                      <w:bdr w:val="none" w:color="auto" w:sz="0" w:space="0"/>
                      <w:lang w:val="en-US" w:eastAsia="zh-CN" w:bidi="ar"/>
                    </w:rPr>
                    <w:t>门以上，并提供成绩单。</w:t>
                  </w:r>
                </w:p>
              </w:tc>
              <w:tc>
                <w:tcPr>
                  <w:tcW w:w="3120" w:type="dxa"/>
                  <w:vMerge w:val="restart"/>
                  <w:tcBorders>
                    <w:top w:val="nil"/>
                    <w:left w:val="single" w:color="auto" w:sz="4" w:space="0"/>
                    <w:bottom w:val="single" w:color="000000"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16"/>
                      <w:szCs w:val="16"/>
                    </w:rPr>
                  </w:pPr>
                  <w:r>
                    <w:rPr>
                      <w:rFonts w:hint="default" w:ascii="Arial" w:hAnsi="Arial" w:eastAsia="宋体" w:cs="Arial"/>
                      <w:kern w:val="0"/>
                      <w:sz w:val="12"/>
                      <w:szCs w:val="12"/>
                      <w:bdr w:val="none" w:color="auto" w:sz="0" w:space="0"/>
                      <w:lang w:val="en-US" w:eastAsia="zh-CN" w:bidi="ar"/>
                    </w:rPr>
                    <w:t>1</w:t>
                  </w:r>
                  <w:r>
                    <w:rPr>
                      <w:rFonts w:ascii="宋体" w:hAnsi="宋体" w:eastAsia="宋体" w:cs="宋体"/>
                      <w:kern w:val="0"/>
                      <w:sz w:val="12"/>
                      <w:szCs w:val="12"/>
                      <w:bdr w:val="none" w:color="auto" w:sz="0" w:space="0"/>
                      <w:lang w:val="en-US" w:eastAsia="zh-CN" w:bidi="ar"/>
                    </w:rPr>
                    <w:t>、所有专业调剂总成绩必须符合</w:t>
                  </w:r>
                  <w:r>
                    <w:rPr>
                      <w:rFonts w:ascii="宋体" w:hAnsi="宋体" w:eastAsia="宋体" w:cs="宋体"/>
                      <w:kern w:val="0"/>
                      <w:sz w:val="16"/>
                      <w:szCs w:val="16"/>
                      <w:bdr w:val="none" w:color="auto" w:sz="0" w:space="0"/>
                      <w:lang w:val="en-US" w:eastAsia="zh-CN" w:bidi="ar"/>
                    </w:rPr>
                    <w:t> </w:t>
                  </w:r>
                  <w:r>
                    <w:rPr>
                      <w:rFonts w:ascii="宋体" w:hAnsi="宋体" w:eastAsia="宋体" w:cs="宋体"/>
                      <w:kern w:val="0"/>
                      <w:sz w:val="12"/>
                      <w:szCs w:val="12"/>
                      <w:bdr w:val="none" w:color="auto" w:sz="0" w:space="0"/>
                      <w:lang w:val="en-US" w:eastAsia="zh-CN" w:bidi="ar"/>
                    </w:rPr>
                    <w:t>天津理工大学</w:t>
                  </w:r>
                  <w:r>
                    <w:rPr>
                      <w:rFonts w:hint="default" w:ascii="Arial" w:hAnsi="Arial" w:eastAsia="宋体" w:cs="Arial"/>
                      <w:kern w:val="0"/>
                      <w:sz w:val="12"/>
                      <w:szCs w:val="12"/>
                      <w:bdr w:val="none" w:color="auto" w:sz="0" w:space="0"/>
                      <w:lang w:val="en-US" w:eastAsia="zh-CN" w:bidi="ar"/>
                    </w:rPr>
                    <w:t>2023</w:t>
                  </w:r>
                  <w:r>
                    <w:rPr>
                      <w:rFonts w:ascii="宋体" w:hAnsi="宋体" w:eastAsia="宋体" w:cs="宋体"/>
                      <w:kern w:val="0"/>
                      <w:sz w:val="12"/>
                      <w:szCs w:val="12"/>
                      <w:bdr w:val="none" w:color="auto" w:sz="0" w:space="0"/>
                      <w:lang w:val="en-US" w:eastAsia="zh-CN" w:bidi="ar"/>
                    </w:rPr>
                    <w:t>年进入复试的初试成绩基本要求。</w:t>
                  </w:r>
                  <w:r>
                    <w:rPr>
                      <w:rFonts w:ascii="宋体" w:hAnsi="宋体" w:eastAsia="宋体" w:cs="宋体"/>
                      <w:kern w:val="0"/>
                      <w:sz w:val="12"/>
                      <w:szCs w:val="12"/>
                      <w:bdr w:val="none" w:color="auto" w:sz="0" w:space="0"/>
                      <w:lang w:val="en-US" w:eastAsia="zh-CN" w:bidi="ar"/>
                    </w:rPr>
                    <w:br w:type="textWrapping"/>
                  </w:r>
                  <w:r>
                    <w:rPr>
                      <w:rFonts w:ascii="宋体" w:hAnsi="宋体" w:eastAsia="宋体" w:cs="宋体"/>
                      <w:kern w:val="0"/>
                      <w:sz w:val="12"/>
                      <w:szCs w:val="12"/>
                      <w:bdr w:val="none" w:color="auto" w:sz="0" w:space="0"/>
                      <w:lang w:val="en-US" w:eastAsia="zh-CN" w:bidi="ar"/>
                    </w:rPr>
                    <w:t>    </w:t>
                  </w:r>
                  <w:r>
                    <w:rPr>
                      <w:rFonts w:hint="default" w:ascii="Arial" w:hAnsi="Arial" w:eastAsia="宋体" w:cs="Arial"/>
                      <w:kern w:val="0"/>
                      <w:sz w:val="12"/>
                      <w:szCs w:val="12"/>
                      <w:bdr w:val="none" w:color="auto" w:sz="0" w:space="0"/>
                      <w:lang w:val="en-US" w:eastAsia="zh-CN" w:bidi="ar"/>
                    </w:rPr>
                    <w:t>https://yjs.tjut.edu.cn/info/1012/2855.htm</w:t>
                  </w:r>
                  <w:r>
                    <w:rPr>
                      <w:rFonts w:hint="default" w:ascii="Arial" w:hAnsi="Arial" w:eastAsia="宋体" w:cs="Arial"/>
                      <w:kern w:val="0"/>
                      <w:sz w:val="12"/>
                      <w:szCs w:val="12"/>
                      <w:bdr w:val="none" w:color="auto" w:sz="0" w:space="0"/>
                      <w:lang w:val="en-US" w:eastAsia="zh-CN" w:bidi="ar"/>
                    </w:rPr>
                    <w:br w:type="textWrapping"/>
                  </w:r>
                  <w:r>
                    <w:rPr>
                      <w:rFonts w:hint="default" w:ascii="Arial" w:hAnsi="Arial" w:eastAsia="宋体" w:cs="Arial"/>
                      <w:kern w:val="0"/>
                      <w:sz w:val="12"/>
                      <w:szCs w:val="12"/>
                      <w:bdr w:val="none" w:color="auto" w:sz="0" w:space="0"/>
                      <w:lang w:val="en-US" w:eastAsia="zh-CN" w:bidi="ar"/>
                    </w:rPr>
                    <w:t>   </w:t>
                  </w:r>
                  <w:r>
                    <w:rPr>
                      <w:rFonts w:ascii="宋体" w:hAnsi="宋体" w:eastAsia="宋体" w:cs="宋体"/>
                      <w:kern w:val="0"/>
                      <w:sz w:val="16"/>
                      <w:szCs w:val="16"/>
                      <w:bdr w:val="none" w:color="auto" w:sz="0" w:space="0"/>
                      <w:lang w:val="en-US" w:eastAsia="zh-CN" w:bidi="ar"/>
                    </w:rPr>
                    <w:br w:type="textWrapping"/>
                  </w:r>
                  <w:r>
                    <w:rPr>
                      <w:rFonts w:hint="default" w:ascii="Arial" w:hAnsi="Arial" w:eastAsia="宋体" w:cs="Arial"/>
                      <w:kern w:val="0"/>
                      <w:sz w:val="12"/>
                      <w:szCs w:val="12"/>
                      <w:bdr w:val="none" w:color="auto" w:sz="0" w:space="0"/>
                      <w:lang w:val="en-US" w:eastAsia="zh-CN" w:bidi="ar"/>
                    </w:rPr>
                    <w:t>2</w:t>
                  </w:r>
                  <w:r>
                    <w:rPr>
                      <w:rFonts w:ascii="宋体" w:hAnsi="宋体" w:eastAsia="宋体" w:cs="宋体"/>
                      <w:kern w:val="0"/>
                      <w:sz w:val="12"/>
                      <w:szCs w:val="12"/>
                      <w:bdr w:val="none" w:color="auto" w:sz="0" w:space="0"/>
                      <w:lang w:val="en-US" w:eastAsia="zh-CN" w:bidi="ar"/>
                    </w:rPr>
                    <w:t>、调剂考生复试将于</w:t>
                  </w:r>
                  <w:r>
                    <w:rPr>
                      <w:rFonts w:hint="default" w:ascii="Arial" w:hAnsi="Arial" w:eastAsia="宋体" w:cs="Arial"/>
                      <w:kern w:val="0"/>
                      <w:sz w:val="12"/>
                      <w:szCs w:val="12"/>
                      <w:bdr w:val="none" w:color="auto" w:sz="0" w:space="0"/>
                      <w:lang w:val="en-US" w:eastAsia="zh-CN" w:bidi="ar"/>
                    </w:rPr>
                    <w:t>4</w:t>
                  </w:r>
                  <w:r>
                    <w:rPr>
                      <w:rFonts w:ascii="宋体" w:hAnsi="宋体" w:eastAsia="宋体" w:cs="宋体"/>
                      <w:kern w:val="0"/>
                      <w:sz w:val="12"/>
                      <w:szCs w:val="12"/>
                      <w:bdr w:val="none" w:color="auto" w:sz="0" w:space="0"/>
                      <w:lang w:val="en-US" w:eastAsia="zh-CN" w:bidi="ar"/>
                    </w:rPr>
                    <w:t>月</w:t>
                  </w:r>
                  <w:r>
                    <w:rPr>
                      <w:rFonts w:hint="default" w:ascii="Arial" w:hAnsi="Arial" w:eastAsia="宋体" w:cs="Arial"/>
                      <w:kern w:val="0"/>
                      <w:sz w:val="12"/>
                      <w:szCs w:val="12"/>
                      <w:bdr w:val="none" w:color="auto" w:sz="0" w:space="0"/>
                      <w:lang w:val="en-US" w:eastAsia="zh-CN" w:bidi="ar"/>
                    </w:rPr>
                    <w:t>7</w:t>
                  </w:r>
                  <w:r>
                    <w:rPr>
                      <w:rFonts w:ascii="宋体" w:hAnsi="宋体" w:eastAsia="宋体" w:cs="宋体"/>
                      <w:kern w:val="0"/>
                      <w:sz w:val="12"/>
                      <w:szCs w:val="12"/>
                      <w:bdr w:val="none" w:color="auto" w:sz="0" w:space="0"/>
                      <w:lang w:val="en-US" w:eastAsia="zh-CN" w:bidi="ar"/>
                    </w:rPr>
                    <w:t>日左右开始，具体名单与详细复试时间，请随时关注天津理工大学研究生院与新能源材料与低碳技术研究院网站。</w:t>
                  </w:r>
                  <w:r>
                    <w:rPr>
                      <w:rFonts w:ascii="宋体" w:hAnsi="宋体" w:eastAsia="宋体" w:cs="宋体"/>
                      <w:kern w:val="0"/>
                      <w:sz w:val="12"/>
                      <w:szCs w:val="12"/>
                      <w:bdr w:val="none" w:color="auto" w:sz="0" w:space="0"/>
                      <w:lang w:val="en-US" w:eastAsia="zh-CN" w:bidi="ar"/>
                    </w:rPr>
                    <w:br w:type="textWrapping"/>
                  </w:r>
                  <w:r>
                    <w:rPr>
                      <w:rFonts w:ascii="宋体" w:hAnsi="宋体" w:eastAsia="宋体" w:cs="宋体"/>
                      <w:kern w:val="0"/>
                      <w:sz w:val="12"/>
                      <w:szCs w:val="12"/>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421" w:hRule="atLeast"/>
              </w:trPr>
              <w:tc>
                <w:tcPr>
                  <w:tcW w:w="1090" w:type="dxa"/>
                  <w:vMerge w:val="continue"/>
                  <w:tcBorders>
                    <w:top w:val="nil"/>
                    <w:left w:val="single" w:color="auto" w:sz="4" w:space="0"/>
                    <w:bottom w:val="single" w:color="auto" w:sz="4" w:space="0"/>
                    <w:right w:val="single" w:color="auto" w:sz="4" w:space="0"/>
                  </w:tcBorders>
                  <w:shd w:val="clear"/>
                  <w:vAlign w:val="center"/>
                </w:tcPr>
                <w:p>
                  <w:pPr>
                    <w:rPr>
                      <w:rFonts w:hint="eastAsia" w:ascii="宋体"/>
                      <w:sz w:val="16"/>
                      <w:szCs w:val="16"/>
                    </w:rPr>
                  </w:pPr>
                </w:p>
              </w:tc>
              <w:tc>
                <w:tcPr>
                  <w:tcW w:w="63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16"/>
                      <w:szCs w:val="16"/>
                    </w:rPr>
                  </w:pPr>
                  <w:r>
                    <w:rPr>
                      <w:rFonts w:hint="default" w:ascii="Arial" w:hAnsi="Arial" w:eastAsia="宋体" w:cs="Arial"/>
                      <w:kern w:val="0"/>
                      <w:sz w:val="12"/>
                      <w:szCs w:val="12"/>
                      <w:bdr w:val="none" w:color="auto" w:sz="0" w:space="0"/>
                      <w:lang w:val="en-US" w:eastAsia="zh-CN" w:bidi="ar"/>
                    </w:rPr>
                    <w:t>085600</w:t>
                  </w:r>
                </w:p>
              </w:tc>
              <w:tc>
                <w:tcPr>
                  <w:tcW w:w="109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16"/>
                      <w:szCs w:val="16"/>
                    </w:rPr>
                  </w:pPr>
                  <w:r>
                    <w:rPr>
                      <w:rFonts w:ascii="宋体" w:hAnsi="宋体" w:eastAsia="宋体" w:cs="宋体"/>
                      <w:kern w:val="0"/>
                      <w:sz w:val="12"/>
                      <w:szCs w:val="12"/>
                      <w:bdr w:val="none" w:color="auto" w:sz="0" w:space="0"/>
                      <w:lang w:val="en-US" w:eastAsia="zh-CN" w:bidi="ar"/>
                    </w:rPr>
                    <w:t>材料与化工</w:t>
                  </w:r>
                </w:p>
              </w:tc>
              <w:tc>
                <w:tcPr>
                  <w:tcW w:w="63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16"/>
                      <w:szCs w:val="16"/>
                    </w:rPr>
                  </w:pPr>
                  <w:r>
                    <w:rPr>
                      <w:rFonts w:ascii="宋体" w:hAnsi="宋体" w:eastAsia="宋体" w:cs="宋体"/>
                      <w:kern w:val="0"/>
                      <w:sz w:val="12"/>
                      <w:szCs w:val="12"/>
                      <w:bdr w:val="none" w:color="auto" w:sz="0" w:space="0"/>
                      <w:lang w:val="en-US" w:eastAsia="zh-CN" w:bidi="ar"/>
                    </w:rPr>
                    <w:t>全日制</w:t>
                  </w:r>
                </w:p>
              </w:tc>
              <w:tc>
                <w:tcPr>
                  <w:tcW w:w="55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16"/>
                      <w:szCs w:val="16"/>
                    </w:rPr>
                  </w:pPr>
                  <w:r>
                    <w:rPr>
                      <w:rFonts w:ascii="宋体" w:hAnsi="宋体" w:eastAsia="宋体" w:cs="宋体"/>
                      <w:kern w:val="0"/>
                      <w:sz w:val="12"/>
                      <w:szCs w:val="12"/>
                      <w:bdr w:val="none" w:color="auto" w:sz="0" w:space="0"/>
                      <w:lang w:val="en-US" w:eastAsia="zh-CN" w:bidi="ar"/>
                    </w:rPr>
                    <w:t>是</w:t>
                  </w:r>
                </w:p>
              </w:tc>
              <w:tc>
                <w:tcPr>
                  <w:tcW w:w="303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16"/>
                      <w:szCs w:val="16"/>
                    </w:rPr>
                  </w:pPr>
                  <w:r>
                    <w:rPr>
                      <w:rFonts w:ascii="宋体" w:hAnsi="宋体" w:eastAsia="宋体" w:cs="宋体"/>
                      <w:kern w:val="0"/>
                      <w:sz w:val="12"/>
                      <w:szCs w:val="12"/>
                      <w:bdr w:val="none" w:color="auto" w:sz="0" w:space="0"/>
                      <w:lang w:val="en-US" w:eastAsia="zh-CN" w:bidi="ar"/>
                    </w:rPr>
                    <w:t>本科期间修过无机化学、物理化学等与化学相关的课程</w:t>
                  </w:r>
                  <w:r>
                    <w:rPr>
                      <w:rFonts w:hint="default" w:ascii="Arial" w:hAnsi="Arial" w:eastAsia="宋体" w:cs="Arial"/>
                      <w:kern w:val="0"/>
                      <w:sz w:val="12"/>
                      <w:szCs w:val="12"/>
                      <w:bdr w:val="none" w:color="auto" w:sz="0" w:space="0"/>
                      <w:lang w:val="en-US" w:eastAsia="zh-CN" w:bidi="ar"/>
                    </w:rPr>
                    <w:t>1</w:t>
                  </w:r>
                  <w:r>
                    <w:rPr>
                      <w:rFonts w:ascii="宋体" w:hAnsi="宋体" w:eastAsia="宋体" w:cs="宋体"/>
                      <w:kern w:val="0"/>
                      <w:sz w:val="12"/>
                      <w:szCs w:val="12"/>
                      <w:bdr w:val="none" w:color="auto" w:sz="0" w:space="0"/>
                      <w:lang w:val="en-US" w:eastAsia="zh-CN" w:bidi="ar"/>
                    </w:rPr>
                    <w:t>门以上，并提供成绩单。</w:t>
                  </w:r>
                </w:p>
              </w:tc>
              <w:tc>
                <w:tcPr>
                  <w:tcW w:w="3120" w:type="dxa"/>
                  <w:vMerge w:val="continue"/>
                  <w:tcBorders>
                    <w:top w:val="nil"/>
                    <w:left w:val="single" w:color="auto" w:sz="4" w:space="0"/>
                    <w:bottom w:val="single" w:color="000000" w:sz="4" w:space="0"/>
                    <w:right w:val="single" w:color="auto" w:sz="4" w:space="0"/>
                  </w:tcBorders>
                  <w:shd w:val="clear"/>
                  <w:vAlign w:val="center"/>
                </w:tcPr>
                <w:p>
                  <w:pPr>
                    <w:rPr>
                      <w:rFonts w:hint="eastAsia" w:ascii="宋体"/>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40" w:hRule="atLeast"/>
              </w:trPr>
              <w:tc>
                <w:tcPr>
                  <w:tcW w:w="10130" w:type="dxa"/>
                  <w:gridSpan w:val="7"/>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16"/>
                      <w:szCs w:val="16"/>
                    </w:rPr>
                  </w:pPr>
                  <w:r>
                    <w:rPr>
                      <w:rFonts w:hint="default" w:ascii="Arial" w:hAnsi="Arial" w:eastAsia="宋体" w:cs="Arial"/>
                      <w:color w:val="FF0000"/>
                      <w:kern w:val="0"/>
                      <w:sz w:val="12"/>
                      <w:szCs w:val="12"/>
                      <w:bdr w:val="none" w:color="auto" w:sz="0" w:space="0"/>
                      <w:lang w:val="en-US" w:eastAsia="zh-CN" w:bidi="ar"/>
                    </w:rPr>
                    <w:t>调剂开放时间： 4月6日0:00                    </w:t>
                  </w:r>
                  <w:r>
                    <w:rPr>
                      <w:rFonts w:hint="default" w:ascii="Arial" w:hAnsi="Arial" w:eastAsia="宋体" w:cs="Arial"/>
                      <w:color w:val="FF0000"/>
                      <w:kern w:val="0"/>
                      <w:sz w:val="12"/>
                      <w:szCs w:val="12"/>
                      <w:bdr w:val="none" w:color="auto" w:sz="0" w:space="0"/>
                      <w:lang w:val="en-US" w:eastAsia="zh-CN" w:bidi="ar"/>
                    </w:rPr>
                    <w:br w:type="textWrapping"/>
                  </w:r>
                  <w:r>
                    <w:rPr>
                      <w:rFonts w:hint="default" w:ascii="Arial" w:hAnsi="Arial" w:eastAsia="宋体" w:cs="Arial"/>
                      <w:color w:val="FF0000"/>
                      <w:kern w:val="0"/>
                      <w:sz w:val="12"/>
                      <w:szCs w:val="12"/>
                      <w:bdr w:val="none" w:color="auto" w:sz="0" w:space="0"/>
                      <w:lang w:val="en-US" w:eastAsia="zh-CN" w:bidi="ar"/>
                    </w:rPr>
                    <w:t>关闭时间： 4月6日12:00                            </w:t>
                  </w:r>
                  <w:r>
                    <w:rPr>
                      <w:rFonts w:hint="default" w:ascii="Arial" w:hAnsi="Arial" w:eastAsia="宋体" w:cs="Arial"/>
                      <w:color w:val="FF0000"/>
                      <w:kern w:val="0"/>
                      <w:sz w:val="12"/>
                      <w:szCs w:val="12"/>
                      <w:bdr w:val="none" w:color="auto" w:sz="0" w:space="0"/>
                      <w:lang w:val="en-US" w:eastAsia="zh-CN" w:bidi="ar"/>
                    </w:rPr>
                    <w:br w:type="textWrapping"/>
                  </w:r>
                  <w:r>
                    <w:rPr>
                      <w:rFonts w:hint="default" w:ascii="Arial" w:hAnsi="Arial" w:eastAsia="宋体" w:cs="Arial"/>
                      <w:color w:val="FF0000"/>
                      <w:kern w:val="0"/>
                      <w:sz w:val="12"/>
                      <w:szCs w:val="12"/>
                      <w:bdr w:val="none" w:color="auto" w:sz="0" w:space="0"/>
                      <w:lang w:val="en-US" w:eastAsia="zh-CN" w:bidi="ar"/>
                    </w:rPr>
                    <w:t>开放时长：12h</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pPr>
            <w:r>
              <w:rPr>
                <w:rFonts w:hint="eastAsia" w:ascii="宋体" w:hAnsi="宋体" w:eastAsia="宋体" w:cs="宋体"/>
                <w:i w:val="0"/>
                <w:iCs w:val="0"/>
                <w:caps w:val="0"/>
                <w:color w:val="000000"/>
                <w:spacing w:val="0"/>
                <w:sz w:val="16"/>
                <w:szCs w:val="16"/>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nil"/>
              <w:left w:val="nil"/>
              <w:bottom w:val="nil"/>
              <w:right w:val="nil"/>
            </w:tcBorders>
            <w:shd w:val="clear" w:color="auto" w:fill="FFFFFF"/>
            <w:vAlign w:val="center"/>
          </w:tcPr>
          <w:p>
            <w:pPr>
              <w:jc w:val="left"/>
              <w:rPr>
                <w:rFonts w:hint="eastAsia" w:ascii="宋体" w:hAnsi="宋体" w:eastAsia="宋体" w:cs="宋体"/>
                <w:i w:val="0"/>
                <w:iCs w:val="0"/>
                <w:caps w:val="0"/>
                <w:color w:val="222222"/>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nil"/>
              <w:left w:val="nil"/>
              <w:bottom w:val="nil"/>
              <w:right w:val="nil"/>
            </w:tcBorders>
            <w:shd w:val="clear" w:color="auto" w:fill="FFFFFF"/>
            <w:vAlign w:val="center"/>
          </w:tcPr>
          <w:p>
            <w:pPr>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nil"/>
              <w:left w:val="nil"/>
              <w:bottom w:val="nil"/>
              <w:right w:val="nil"/>
            </w:tcBorders>
            <w:shd w:val="clear" w:color="auto" w:fill="FFFFFF"/>
            <w:vAlign w:val="center"/>
          </w:tcPr>
          <w:p>
            <w:pPr>
              <w:jc w:val="left"/>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nil"/>
              <w:left w:val="nil"/>
              <w:bottom w:val="nil"/>
              <w:right w:val="nil"/>
            </w:tcBorders>
            <w:shd w:val="clear" w:color="auto" w:fill="FFFFFF"/>
            <w:vAlign w:val="center"/>
          </w:tcPr>
          <w:p>
            <w:pPr>
              <w:jc w:val="center"/>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nil"/>
              <w:left w:val="nil"/>
              <w:bottom w:val="nil"/>
              <w:right w:val="nil"/>
            </w:tcBorders>
            <w:shd w:val="clear" w:color="auto" w:fill="FFFFFF"/>
            <w:vAlign w:val="center"/>
          </w:tcPr>
          <w:p>
            <w:pPr>
              <w:rPr>
                <w:rFonts w:hint="eastAsia" w:ascii="宋体" w:hAnsi="宋体" w:eastAsia="宋体" w:cs="宋体"/>
                <w:i w:val="0"/>
                <w:iCs w:val="0"/>
                <w:caps w:val="0"/>
                <w:color w:val="000000"/>
                <w:spacing w:val="0"/>
                <w:sz w:val="12"/>
                <w:szCs w:val="12"/>
              </w:rPr>
            </w:pPr>
          </w:p>
        </w:tc>
      </w:tr>
    </w:tbl>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1ODBhYjk4OWY1YWUyZTQxZjc4MWFkOGM2OGMwMzIifQ=="/>
  </w:docVars>
  <w:rsids>
    <w:rsidRoot w:val="7E0A6AC0"/>
    <w:rsid w:val="7E0A6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2023-04-14T07:26:00Z</dcterms:created>
  <dc:creator>三千最爱排骨</dc:creator>
  <cp:lastModifiedBy>三千最爱排骨</cp:lastModifiedBy>
  <dcterms:modified xsi:type="dcterms:W3CDTF">2023-04-14T07:26:22Z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DC165DA0A1F044D8B5CAA7F7B676D9BF</vt:lpwstr>
  </property>
</Properties>
</file>