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r>
        <w:rPr>
          <w:i w:val="0"/>
          <w:iCs w:val="0"/>
          <w:caps w:val="0"/>
          <w:color w:val="9F080C"/>
          <w:spacing w:val="0"/>
          <w:sz w:val="20"/>
          <w:szCs w:val="20"/>
          <w:bdr w:val="none" w:color="auto" w:sz="0" w:space="0"/>
          <w:shd w:val="clear" w:fill="FFFFFF"/>
        </w:rPr>
        <w:t>天津理工大学生命健康智能检测研究院2023年硕士研究生招生（调剂，第二批）复试名单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[发表时间]：2023-04-08 [来源]： [浏览次数]： 427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4762500" cy="27813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4762500" cy="3028950"/>
            <wp:effectExtent l="0" t="0" r="0" b="635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4762500" cy="1647825"/>
            <wp:effectExtent l="0" t="0" r="0" b="317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生命健康智能检测研究院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2023年4月8日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68017207"/>
    <w:rsid w:val="680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2023-04-14T07:17:00Z</dcterms:created>
  <dc:creator>三千最爱排骨</dc:creator>
  <cp:lastModifiedBy>三千最爱排骨</cp:lastModifiedBy>
  <dcterms:modified xsi:type="dcterms:W3CDTF">2023-04-14T07:17:54Z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3FE4EC4CAEE446B08775E5B3AA14BE9B</vt:lpwstr>
  </property>
</Properties>
</file>