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jc w:val="center"/>
      </w:pPr>
      <w:r>
        <w:rPr>
          <w:bdr w:val="none" w:color="auto" w:sz="0" w:space="0"/>
        </w:rPr>
        <w:t>2023年经管学院硕士研究生调剂系统发布缺额信息时间通知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微软雅黑" w:hAnsi="微软雅黑" w:eastAsia="微软雅黑" w:cs="微软雅黑"/>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发布日期：2023-04-08</w:t>
      </w:r>
    </w:p>
    <w:p>
      <w:pPr>
        <w:keepNext w:val="0"/>
        <w:keepLines w:val="0"/>
        <w:widowControl/>
        <w:suppressLineNumbers w:val="0"/>
      </w:pPr>
      <w:r>
        <w:rPr>
          <w:rFonts w:hint="eastAsia" w:ascii="微软雅黑" w:hAnsi="微软雅黑" w:eastAsia="微软雅黑" w:cs="微软雅黑"/>
        </w:rP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200" w:lineRule="atLeast"/>
        <w:ind w:left="0" w:right="0" w:firstLine="370"/>
        <w:jc w:val="center"/>
        <w:rPr>
          <w:rFonts w:hint="eastAsia" w:ascii="微软雅黑" w:hAnsi="微软雅黑" w:eastAsia="微软雅黑" w:cs="微软雅黑"/>
        </w:rPr>
      </w:pPr>
      <w:r>
        <w:rPr>
          <w:rStyle w:val="7"/>
          <w:rFonts w:hint="eastAsia" w:ascii="宋体" w:hAnsi="宋体" w:eastAsia="宋体" w:cs="宋体"/>
          <w:color w:val="000000"/>
          <w:sz w:val="19"/>
          <w:szCs w:val="19"/>
          <w:bdr w:val="none" w:color="auto" w:sz="0" w:space="0"/>
          <w:shd w:val="clear" w:fill="FFFFFF"/>
        </w:rPr>
        <w:t>2023年经管学院硕士研究生调剂系统发布缺额信息时间通知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各位考生：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我院2023年硕士研究生接收调剂缺额信息时间段为2023年4月8日19:30—2023年4月9日8:00，到期系统关闭，请申请调剂的考生，务必在上述时间段内及时填写、提交调剂志愿，请周知。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70"/>
        <w:rPr>
          <w:rFonts w:hint="eastAsia" w:ascii="微软雅黑" w:hAnsi="微软雅黑" w:eastAsia="微软雅黑" w:cs="微软雅黑"/>
        </w:rPr>
      </w:pPr>
      <w:r>
        <w:rPr>
          <w:rStyle w:val="7"/>
          <w:rFonts w:hint="eastAsia" w:ascii="宋体" w:hAnsi="宋体" w:eastAsia="宋体" w:cs="宋体"/>
          <w:color w:val="000000"/>
          <w:sz w:val="19"/>
          <w:szCs w:val="19"/>
          <w:bdr w:val="none" w:color="auto" w:sz="0" w:space="0"/>
          <w:shd w:val="clear" w:fill="FFFFFF"/>
        </w:rPr>
        <w:t>一、拟接收调剂专业与代码</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100"/>
        <w:gridCol w:w="1660"/>
        <w:gridCol w:w="1370"/>
        <w:gridCol w:w="15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专业代码</w:t>
            </w:r>
          </w:p>
        </w:tc>
        <w:tc>
          <w:tcPr>
            <w:tcW w:w="16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专业名称</w:t>
            </w:r>
          </w:p>
        </w:tc>
        <w:tc>
          <w:tcPr>
            <w:tcW w:w="1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学术类型</w:t>
            </w:r>
          </w:p>
        </w:tc>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学习方式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120200</w:t>
            </w:r>
          </w:p>
        </w:tc>
        <w:tc>
          <w:tcPr>
            <w:tcW w:w="16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工商管理</w:t>
            </w:r>
          </w:p>
        </w:tc>
        <w:tc>
          <w:tcPr>
            <w:tcW w:w="1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学术型</w:t>
            </w:r>
          </w:p>
        </w:tc>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90" w:lineRule="atLeast"/>
              <w:ind w:left="0" w:right="0"/>
              <w:rPr>
                <w:rFonts w:hint="eastAsia" w:ascii="微软雅黑" w:hAnsi="微软雅黑" w:eastAsia="微软雅黑" w:cs="微软雅黑"/>
              </w:rPr>
            </w:pPr>
            <w:r>
              <w:rPr>
                <w:rFonts w:hint="eastAsia" w:ascii="宋体" w:hAnsi="宋体" w:eastAsia="宋体" w:cs="宋体"/>
                <w:sz w:val="16"/>
                <w:szCs w:val="16"/>
                <w:bdr w:val="none" w:color="auto" w:sz="0" w:space="0"/>
              </w:rPr>
              <w:t>全日制</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190" w:lineRule="atLeast"/>
        <w:ind w:left="0" w:right="0" w:firstLine="210"/>
        <w:rPr>
          <w:rFonts w:hint="eastAsia" w:ascii="微软雅黑" w:hAnsi="微软雅黑" w:eastAsia="微软雅黑" w:cs="微软雅黑"/>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特别提醒：根据学院复试工作实施细则，报考我院的调剂考生，将根据初试科目总分由高到低进行排序。根据计划缺额和复试比例，确定各个批次进入调剂人员名单。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70"/>
        <w:rPr>
          <w:rFonts w:hint="eastAsia" w:ascii="微软雅黑" w:hAnsi="微软雅黑" w:eastAsia="微软雅黑" w:cs="微软雅黑"/>
        </w:rPr>
      </w:pPr>
      <w:r>
        <w:rPr>
          <w:rStyle w:val="7"/>
          <w:rFonts w:hint="eastAsia" w:ascii="宋体" w:hAnsi="宋体" w:eastAsia="宋体" w:cs="宋体"/>
          <w:color w:val="000000"/>
          <w:sz w:val="19"/>
          <w:szCs w:val="19"/>
          <w:bdr w:val="none" w:color="auto" w:sz="0" w:space="0"/>
          <w:shd w:val="clear" w:fill="FFFFFF"/>
        </w:rPr>
        <w:t>二、调剂基本条件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1．符合调入专业的报考条件。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2．初试成绩符合第一志愿报考专业在一区的全国初试成绩基本要求。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3．调入专业与第一志愿报考专业相同或相近，且在同一学科门类范围内。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4．初试专业科目与调入专业相同或相近，其中初试统考科目与调入专业初试统考科目相同。考生初试统考科目涵盖调入专业所有统考科目的，视为相同。在全国统一命题科目中，英语一、英语二可视为相同；数学一、数学二可视为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5.第一志愿报考工商管理、公共管理、工程管理、旅游管理、会计、图书情报、审计专业学位的考生在符合调入专业报考条件的前提下，且初试成绩同时符合调出专业和调入专业在一区的全国初试成绩基本要求的基础上可相互调剂，但不得调入其他专业；其他专业考生也不得调入以上7个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6.报考我校专业学位考生不能调剂到我校学术学位专业。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7. 其他调剂条件以学校最新发布的政策为准。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70"/>
        <w:rPr>
          <w:rFonts w:hint="eastAsia" w:ascii="微软雅黑" w:hAnsi="微软雅黑" w:eastAsia="微软雅黑" w:cs="微软雅黑"/>
        </w:rPr>
      </w:pPr>
      <w:r>
        <w:rPr>
          <w:rStyle w:val="7"/>
          <w:rFonts w:hint="eastAsia" w:ascii="宋体" w:hAnsi="宋体" w:eastAsia="宋体" w:cs="宋体"/>
          <w:color w:val="000000"/>
          <w:sz w:val="19"/>
          <w:szCs w:val="19"/>
          <w:bdr w:val="none" w:color="auto" w:sz="0" w:space="0"/>
          <w:shd w:val="clear" w:fill="FFFFFF"/>
        </w:rPr>
        <w:t>三、调剂流程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我院各专业调剂缺额信息将通过“全国硕士生招生调剂服务系统”（http://yz.chsi.com.cn）（以下简称“调剂系统”）向考生公布。如在学院规定发布缺额的时间内申请调剂的生源仍不足，学院将视情况继续发布缺额信息，调剂复试时间将在官网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调剂复试考生须达到国家教育部规定的调剂标准，调剂考生由学院进行选拔并发送复试通知，拟调剂考生需在学院规定时间内登陆“全国硕士生招生调剂服务系统”（http://yz.chsi.com.cn）并完成调剂程序者方可参加复试。过期将被视为自动放弃本次调剂复试机会，不再办理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70"/>
        <w:rPr>
          <w:rFonts w:hint="eastAsia" w:ascii="微软雅黑" w:hAnsi="微软雅黑" w:eastAsia="微软雅黑" w:cs="微软雅黑"/>
        </w:rPr>
      </w:pPr>
      <w:r>
        <w:rPr>
          <w:rStyle w:val="7"/>
          <w:rFonts w:hint="eastAsia" w:ascii="宋体" w:hAnsi="宋体" w:eastAsia="宋体" w:cs="宋体"/>
          <w:color w:val="000000"/>
          <w:sz w:val="19"/>
          <w:szCs w:val="19"/>
          <w:bdr w:val="none" w:color="auto" w:sz="0" w:space="0"/>
          <w:shd w:val="clear" w:fill="FFFFFF"/>
        </w:rPr>
        <w:t>四、其他说明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调剂系统关闭后将尽快开展复试，时间紧张，提醒考生按照《天津科技大学经济与管理学院2023年硕士研究生招生复试录取工作办法》中资格审查要求，提前准备资格审查材料，做好调剂准备。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70"/>
        <w:rPr>
          <w:rFonts w:hint="eastAsia" w:ascii="微软雅黑" w:hAnsi="微软雅黑" w:eastAsia="微软雅黑" w:cs="微软雅黑"/>
        </w:rPr>
      </w:pPr>
      <w:r>
        <w:rPr>
          <w:rStyle w:val="7"/>
          <w:rFonts w:hint="eastAsia" w:ascii="宋体" w:hAnsi="宋体" w:eastAsia="宋体" w:cs="宋体"/>
          <w:color w:val="000000"/>
          <w:sz w:val="19"/>
          <w:szCs w:val="19"/>
          <w:bdr w:val="none" w:color="auto" w:sz="0" w:space="0"/>
          <w:shd w:val="clear" w:fill="FFFFFF"/>
        </w:rPr>
        <w:t>五、联系方式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研究生研究生院网站：http://yjs.tust.edu.cn/zsgz/</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天津科技大学经济与管理学院网站：</w:t>
      </w:r>
      <w:r>
        <w:rPr>
          <w:rFonts w:hint="eastAsia" w:ascii="微软雅黑" w:hAnsi="微软雅黑" w:eastAsia="微软雅黑" w:cs="微软雅黑"/>
          <w:color w:val="000000"/>
          <w:sz w:val="13"/>
          <w:szCs w:val="13"/>
          <w:u w:val="none"/>
          <w:bdr w:val="none" w:color="auto" w:sz="0" w:space="0"/>
          <w:shd w:val="clear" w:fill="FFFFFF"/>
        </w:rPr>
        <w:fldChar w:fldCharType="begin"/>
      </w:r>
      <w:r>
        <w:rPr>
          <w:rFonts w:hint="eastAsia" w:ascii="微软雅黑" w:hAnsi="微软雅黑" w:eastAsia="微软雅黑" w:cs="微软雅黑"/>
          <w:color w:val="000000"/>
          <w:sz w:val="13"/>
          <w:szCs w:val="13"/>
          <w:u w:val="none"/>
          <w:bdr w:val="none" w:color="auto" w:sz="0" w:space="0"/>
          <w:shd w:val="clear" w:fill="FFFFFF"/>
        </w:rPr>
        <w:instrText xml:space="preserve"> HYPERLINK "http://jgxy.tust.edu.cn/index.htm" </w:instrText>
      </w:r>
      <w:r>
        <w:rPr>
          <w:rFonts w:hint="eastAsia" w:ascii="微软雅黑" w:hAnsi="微软雅黑" w:eastAsia="微软雅黑" w:cs="微软雅黑"/>
          <w:color w:val="000000"/>
          <w:sz w:val="13"/>
          <w:szCs w:val="13"/>
          <w:u w:val="none"/>
          <w:bdr w:val="none" w:color="auto" w:sz="0" w:space="0"/>
          <w:shd w:val="clear" w:fill="FFFFFF"/>
        </w:rPr>
        <w:fldChar w:fldCharType="separate"/>
      </w:r>
      <w:r>
        <w:rPr>
          <w:rStyle w:val="8"/>
          <w:rFonts w:hint="eastAsia" w:ascii="宋体" w:hAnsi="宋体" w:eastAsia="宋体" w:cs="宋体"/>
          <w:color w:val="0000FF"/>
          <w:sz w:val="16"/>
          <w:szCs w:val="16"/>
          <w:u w:val="single"/>
          <w:bdr w:val="none" w:color="auto" w:sz="0" w:space="0"/>
          <w:shd w:val="clear" w:fill="FFFFFF"/>
        </w:rPr>
        <w:t>http://jgxy.tust.edu.cn/index.htm</w:t>
      </w:r>
      <w:r>
        <w:rPr>
          <w:rFonts w:hint="eastAsia" w:ascii="微软雅黑" w:hAnsi="微软雅黑" w:eastAsia="微软雅黑" w:cs="微软雅黑"/>
          <w:color w:val="000000"/>
          <w:sz w:val="13"/>
          <w:szCs w:val="13"/>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联系电话：022-60600901</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00" w:lineRule="atLeast"/>
        <w:ind w:left="0" w:right="0" w:firstLine="320"/>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有关复试调剂其他要求详见我院复试工作实施细则。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190" w:lineRule="atLeast"/>
        <w:ind w:left="0" w:right="0" w:firstLine="210"/>
        <w:jc w:val="right"/>
        <w:rPr>
          <w:rFonts w:hint="eastAsia" w:ascii="微软雅黑" w:hAnsi="微软雅黑" w:eastAsia="微软雅黑" w:cs="微软雅黑"/>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190" w:lineRule="atLeast"/>
        <w:ind w:left="0" w:right="0" w:firstLine="210"/>
        <w:jc w:val="right"/>
        <w:rPr>
          <w:rFonts w:hint="eastAsia" w:ascii="微软雅黑" w:hAnsi="微软雅黑" w:eastAsia="微软雅黑" w:cs="微软雅黑"/>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190" w:lineRule="atLeast"/>
        <w:ind w:left="0" w:right="0" w:firstLine="210"/>
        <w:jc w:val="right"/>
        <w:rPr>
          <w:rFonts w:hint="eastAsia" w:ascii="微软雅黑" w:hAnsi="微软雅黑" w:eastAsia="微软雅黑" w:cs="微软雅黑"/>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190" w:lineRule="atLeast"/>
        <w:ind w:left="0" w:right="0" w:firstLine="210"/>
        <w:jc w:val="right"/>
        <w:rPr>
          <w:rFonts w:hint="eastAsia" w:ascii="微软雅黑" w:hAnsi="微软雅黑" w:eastAsia="微软雅黑" w:cs="微软雅黑"/>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190" w:lineRule="atLeast"/>
        <w:ind w:left="0" w:right="0" w:firstLine="210"/>
        <w:jc w:val="right"/>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经济与管理学院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190" w:lineRule="atLeast"/>
        <w:ind w:left="0" w:right="0" w:firstLine="210"/>
        <w:jc w:val="right"/>
        <w:rPr>
          <w:rFonts w:hint="eastAsia" w:ascii="微软雅黑" w:hAnsi="微软雅黑" w:eastAsia="微软雅黑" w:cs="微软雅黑"/>
        </w:rPr>
      </w:pPr>
      <w:r>
        <w:rPr>
          <w:rFonts w:hint="eastAsia" w:ascii="宋体" w:hAnsi="宋体" w:eastAsia="宋体" w:cs="宋体"/>
          <w:color w:val="000000"/>
          <w:sz w:val="16"/>
          <w:szCs w:val="16"/>
          <w:bdr w:val="none" w:color="auto" w:sz="0" w:space="0"/>
          <w:shd w:val="clear" w:fill="FFFFFF"/>
        </w:rPr>
        <w:t>2023.4.8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ind w:left="0" w:right="0"/>
        <w:rPr>
          <w:rFonts w:hint="eastAsia" w:ascii="微软雅黑" w:hAnsi="微软雅黑" w:eastAsia="微软雅黑" w:cs="微软雅黑"/>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rPr>
          <w:rFonts w:hint="eastAsia" w:ascii="微软雅黑" w:hAnsi="微软雅黑" w:eastAsia="微软雅黑" w:cs="微软雅黑"/>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1ODBhYjk4OWY1YWUyZTQxZjc4MWFkOGM2OGMwMzIifQ=="/>
  </w:docVars>
  <w:rsids>
    <w:rsidRoot w:val="01310C40"/>
    <w:rsid w:val="01310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2023-04-13T02:05:00Z</dcterms:created>
  <dc:creator>三千最爱排骨</dc:creator>
  <cp:lastModifiedBy>三千最爱排骨</cp:lastModifiedBy>
  <dcterms:modified xsi:type="dcterms:W3CDTF">2023-04-13T02:06:15Z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76379E0E519E441C9904A5EEDF3D49F7</vt:lpwstr>
  </property>
</Properties>
</file>