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3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林学与园林学院林木遗传育种2023年硕士研究生招生调剂计划(第二批)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9AA2A2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AA2A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点击数: [585]  更新日期:2023年04月12日 21:40</w:t>
      </w:r>
    </w:p>
    <w:tbl>
      <w:tblPr>
        <w:tblW w:w="50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0"/>
        <w:gridCol w:w="940"/>
        <w:gridCol w:w="156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5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6"/>
                <w:sz w:val="19"/>
                <w:szCs w:val="19"/>
                <w:bdr w:val="none" w:color="auto" w:sz="0" w:space="0"/>
              </w:rPr>
              <w:t>林学与园林学院2023调剂（第二批次）招生计划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" w:hRule="atLeast"/>
          <w:jc w:val="center"/>
        </w:trPr>
        <w:tc>
          <w:tcPr>
            <w:tcW w:w="126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院系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分类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专业</w:t>
            </w: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rStyle w:val="6"/>
                <w:sz w:val="15"/>
                <w:szCs w:val="15"/>
                <w:bdr w:val="none" w:color="auto" w:sz="0" w:space="0"/>
              </w:rPr>
              <w:t>第二批调剂计划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</w:pPr>
            <w:r>
              <w:rPr>
                <w:sz w:val="15"/>
                <w:szCs w:val="15"/>
                <w:bdr w:val="none" w:color="auto" w:sz="0" w:space="0"/>
              </w:rPr>
              <w:t>林学与园林学院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sz w:val="15"/>
                <w:szCs w:val="15"/>
                <w:bdr w:val="none" w:color="auto" w:sz="0" w:space="0"/>
              </w:rPr>
              <w:t>学硕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林木遗传育种</w:t>
            </w:r>
            <w:r>
              <w:rPr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5"/>
                <w:szCs w:val="15"/>
                <w:bdr w:val="none" w:color="auto" w:sz="0" w:space="0"/>
              </w:rPr>
              <w:t>090701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30" w:lineRule="atLeast"/>
        <w:ind w:left="0" w:right="0" w:firstLine="280"/>
        <w:jc w:val="center"/>
      </w:pPr>
      <w:r>
        <w:rPr>
          <w:rStyle w:val="6"/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（实际录取人数以学校研究生招生工作领导小组的审定为准）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40" w:lineRule="atLeast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           申请调剂的考生必须在</w:t>
      </w:r>
      <w:r>
        <w:rPr>
          <w:rStyle w:val="6"/>
          <w:rFonts w:hint="default" w:ascii="Arial" w:hAnsi="Arial" w:cs="Arial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“全国硕士研究生招生调剂服务系统”中填报调剂志愿方为有效。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15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823</Characters>
  <Lines>0</Lines>
  <Paragraphs>0</Paragraphs>
  <TotalTime>0</TotalTime>
  <ScaleCrop>false</ScaleCrop>
  <LinksUpToDate>false</LinksUpToDate>
  <CharactersWithSpaces>827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2023-05-24T06:23:24Z</dcterms:created>
  <dc:creator>Administrator</dc:creator>
  <cp:lastModifiedBy>王英</cp:lastModifiedBy>
  <dcterms:modified xsi:type="dcterms:W3CDTF">2023-05-24T06:24:14Z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7F3228E96BFB4E0FAA9C0FF072D2CDD1</vt:lpwstr>
  </property>
</Properties>
</file>