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11" w:lineRule="atLeast"/>
        <w:ind w:left="0" w:right="0" w:firstLine="0"/>
        <w:jc w:val="center"/>
        <w:rPr>
          <w:rFonts w:ascii="微软雅黑" w:hAnsi="微软雅黑" w:eastAsia="微软雅黑" w:cs="微软雅黑"/>
          <w:b/>
          <w:bCs/>
          <w:i w:val="0"/>
          <w:iCs w:val="0"/>
          <w:caps w:val="0"/>
          <w:color w:val="3D3D3D"/>
          <w:spacing w:val="0"/>
          <w:sz w:val="32"/>
          <w:szCs w:val="32"/>
        </w:rPr>
      </w:pPr>
      <w:bookmarkStart w:id="0" w:name="_GoBack"/>
      <w:r>
        <w:rPr>
          <w:rFonts w:hint="eastAsia" w:ascii="微软雅黑" w:hAnsi="微软雅黑" w:eastAsia="微软雅黑" w:cs="微软雅黑"/>
          <w:b/>
          <w:bCs/>
          <w:i w:val="0"/>
          <w:iCs w:val="0"/>
          <w:caps w:val="0"/>
          <w:color w:val="3D3D3D"/>
          <w:spacing w:val="0"/>
          <w:sz w:val="32"/>
          <w:szCs w:val="32"/>
          <w:bdr w:val="none" w:color="auto" w:sz="0" w:space="0"/>
          <w:shd w:val="clear" w:fill="FFFFFF"/>
        </w:rPr>
        <w:t>亳州市人民医院2023年硕士研究生招生生源调剂方案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999999"/>
          <w:spacing w:val="0"/>
          <w:sz w:val="16"/>
          <w:szCs w:val="16"/>
        </w:rPr>
      </w:pPr>
      <w:r>
        <w:rPr>
          <w:rFonts w:hint="eastAsia" w:ascii="微软雅黑" w:hAnsi="微软雅黑" w:eastAsia="微软雅黑" w:cs="微软雅黑"/>
          <w:i w:val="0"/>
          <w:iCs w:val="0"/>
          <w:caps w:val="0"/>
          <w:color w:val="999999"/>
          <w:spacing w:val="0"/>
          <w:kern w:val="0"/>
          <w:sz w:val="16"/>
          <w:szCs w:val="16"/>
          <w:bdr w:val="none" w:color="auto" w:sz="0" w:space="0"/>
          <w:shd w:val="clear" w:fill="FFFFFF"/>
          <w:lang w:val="en-US" w:eastAsia="zh-CN" w:bidi="ar"/>
        </w:rPr>
        <w:t>来源：亳州市人民医院 发布时间：2023-04-05 浏览：128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分享到：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"javascript:;" \o "分享到新浪微博"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"javascript:;" \o "分享到微信"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drawing>
          <wp:inline distT="0" distB="0" distL="114300" distR="114300">
            <wp:extent cx="209550" cy="1809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09550" cy="18097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字体： </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instrText xml:space="preserve"> HYPERLINK "javascript:doZoom(1.1)" </w:instrTex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666666"/>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FFFFFF"/>
          <w:spacing w:val="0"/>
          <w:kern w:val="0"/>
          <w:sz w:val="16"/>
          <w:szCs w:val="16"/>
          <w:u w:val="none"/>
          <w:bdr w:val="none" w:color="auto" w:sz="0" w:space="0"/>
          <w:shd w:val="clear" w:fill="0D45A8"/>
          <w:lang w:val="en-US" w:eastAsia="zh-CN" w:bidi="ar"/>
        </w:rPr>
        <w:fldChar w:fldCharType="begin"/>
      </w:r>
      <w:r>
        <w:rPr>
          <w:rFonts w:hint="eastAsia" w:ascii="微软雅黑" w:hAnsi="微软雅黑" w:eastAsia="微软雅黑" w:cs="微软雅黑"/>
          <w:i w:val="0"/>
          <w:iCs w:val="0"/>
          <w:caps w:val="0"/>
          <w:color w:val="FFFFFF"/>
          <w:spacing w:val="0"/>
          <w:kern w:val="0"/>
          <w:sz w:val="16"/>
          <w:szCs w:val="16"/>
          <w:u w:val="none"/>
          <w:bdr w:val="none" w:color="auto" w:sz="0" w:space="0"/>
          <w:shd w:val="clear" w:fill="0D45A8"/>
          <w:lang w:val="en-US" w:eastAsia="zh-CN" w:bidi="ar"/>
        </w:rPr>
        <w:instrText xml:space="preserve"> HYPERLINK "javascript:doZoom(1)" </w:instrText>
      </w:r>
      <w:r>
        <w:rPr>
          <w:rFonts w:hint="eastAsia" w:ascii="微软雅黑" w:hAnsi="微软雅黑" w:eastAsia="微软雅黑" w:cs="微软雅黑"/>
          <w:i w:val="0"/>
          <w:iCs w:val="0"/>
          <w:caps w:val="0"/>
          <w:color w:val="FFFFFF"/>
          <w:spacing w:val="0"/>
          <w:kern w:val="0"/>
          <w:sz w:val="16"/>
          <w:szCs w:val="16"/>
          <w:u w:val="none"/>
          <w:bdr w:val="none" w:color="auto" w:sz="0" w:space="0"/>
          <w:shd w:val="clear" w:fill="0D45A8"/>
          <w:lang w:val="en-US" w:eastAsia="zh-CN" w:bidi="ar"/>
        </w:rPr>
        <w:fldChar w:fldCharType="separate"/>
      </w:r>
      <w:r>
        <w:rPr>
          <w:rStyle w:val="6"/>
          <w:rFonts w:hint="eastAsia" w:ascii="微软雅黑" w:hAnsi="微软雅黑" w:eastAsia="微软雅黑" w:cs="微软雅黑"/>
          <w:i w:val="0"/>
          <w:iCs w:val="0"/>
          <w:caps w:val="0"/>
          <w:color w:val="FFFFFF"/>
          <w:spacing w:val="0"/>
          <w:sz w:val="16"/>
          <w:szCs w:val="16"/>
          <w:u w:val="none"/>
          <w:bdr w:val="none" w:color="auto" w:sz="0" w:space="0"/>
          <w:shd w:val="clear" w:fill="0D45A8"/>
        </w:rPr>
        <w:t>中</w:t>
      </w:r>
      <w:r>
        <w:rPr>
          <w:rFonts w:hint="eastAsia" w:ascii="微软雅黑" w:hAnsi="微软雅黑" w:eastAsia="微软雅黑" w:cs="微软雅黑"/>
          <w:i w:val="0"/>
          <w:iCs w:val="0"/>
          <w:caps w:val="0"/>
          <w:color w:val="FFFFFF"/>
          <w:spacing w:val="0"/>
          <w:kern w:val="0"/>
          <w:sz w:val="16"/>
          <w:szCs w:val="16"/>
          <w:u w:val="none"/>
          <w:bdr w:val="none" w:color="auto" w:sz="0" w:space="0"/>
          <w:shd w:val="clear" w:fill="0D45A8"/>
          <w:lang w:val="en-US" w:eastAsia="zh-CN" w:bidi="ar"/>
        </w:rPr>
        <w:fldChar w:fldCharType="end"/>
      </w: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instrText xml:space="preserve"> HYPERLINK "javascript:doZoom(0.9)" </w:instrTex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666666"/>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666666"/>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根据教育部《</w:t>
      </w: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2023年全国硕士研究生招生工作管理规定》、《关于做好2023年全国硕士研究生招生录取工作的通知》和《关于安徽医科大学2023年硕士研究生招生生源调剂方案》等文件精神，制定我院调剂方案。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b/>
          <w:bCs/>
          <w:i w:val="0"/>
          <w:iCs w:val="0"/>
          <w:caps w:val="0"/>
          <w:color w:val="333333"/>
          <w:spacing w:val="0"/>
          <w:kern w:val="0"/>
          <w:sz w:val="28"/>
          <w:szCs w:val="28"/>
          <w:bdr w:val="none" w:color="auto" w:sz="0" w:space="0"/>
          <w:shd w:val="clear" w:fill="FFFFFF"/>
          <w:lang w:val="en-US" w:eastAsia="zh-CN" w:bidi="ar"/>
        </w:rPr>
        <w:t>一、调剂原则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生源调剂遵循公开透明、公平公正、考生自愿的原则。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b/>
          <w:bCs/>
          <w:i w:val="0"/>
          <w:iCs w:val="0"/>
          <w:caps w:val="0"/>
          <w:color w:val="333333"/>
          <w:spacing w:val="0"/>
          <w:kern w:val="0"/>
          <w:sz w:val="28"/>
          <w:szCs w:val="28"/>
          <w:bdr w:val="none" w:color="auto" w:sz="0" w:space="0"/>
          <w:shd w:val="clear" w:fill="FFFFFF"/>
          <w:lang w:val="en-US" w:eastAsia="zh-CN" w:bidi="ar"/>
        </w:rPr>
        <w:t>二、生源调剂基本条件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1、考生成绩（单科、总分）须达到学校规定的复试分数线要求（国家复试 A类线），其中临床医学专业学位各专业（专业代码1051开头）调剂考生分数线为总分310分，单科达国家复试A类线。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2、符合学校招生报考指南及专业目录所规定的报考要求（如英语、学历、学制、学习形式要求等，具体见招生章程及专业目录，特别要注意备注栏目的要求）。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4、临床医学和口腔医学一级学科各专业：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5、未经网上公布的缺额专业，一律不接收调剂考生。所有专业均不接受同等学力考生调剂。非全日制仅接收在职定向就业人员调剂，其他与全日制考生各项调剂要求一致。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7、已进入一志愿专业复试名单的考生，如不符合招生报考章程及专业目录上规定的复试专业的报考要求（如英语、学历、学制、学习形式要求等，具体见招生章程及招生专业目录，特别要注意备注栏目的要求），须申请调剂其他专业，否则不予最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b/>
          <w:bCs/>
          <w:i w:val="0"/>
          <w:iCs w:val="0"/>
          <w:caps w:val="0"/>
          <w:color w:val="333333"/>
          <w:spacing w:val="0"/>
          <w:kern w:val="0"/>
          <w:sz w:val="28"/>
          <w:szCs w:val="28"/>
          <w:bdr w:val="none" w:color="auto" w:sz="0" w:space="0"/>
          <w:shd w:val="clear" w:fill="FFFFFF"/>
          <w:lang w:val="en-US" w:eastAsia="zh-CN" w:bidi="ar"/>
        </w:rPr>
        <w:t>三、调剂工作要求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1</w:t>
      </w:r>
      <w:r>
        <w:rPr>
          <w:rFonts w:hint="default" w:ascii="仿宋_GB2312" w:hAnsi="微软雅黑" w:eastAsia="仿宋_GB2312" w:cs="仿宋_GB2312"/>
          <w:b/>
          <w:bCs/>
          <w:i w:val="0"/>
          <w:iCs w:val="0"/>
          <w:caps w:val="0"/>
          <w:color w:val="333333"/>
          <w:spacing w:val="0"/>
          <w:kern w:val="0"/>
          <w:sz w:val="28"/>
          <w:szCs w:val="28"/>
          <w:bdr w:val="none" w:color="auto" w:sz="0" w:space="0"/>
          <w:shd w:val="clear" w:fill="FFFFFF"/>
          <w:lang w:val="en-US" w:eastAsia="zh-CN" w:bidi="ar"/>
        </w:rPr>
        <w:t>、</w:t>
      </w: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我院接收所有调剂考生，调剂均通过教育部“全国硕士生招生调剂服务系统”进行，未通过该系统调剂录取的考生一律无效。学校本次开放调剂系统持续时间为18个小时</w:t>
      </w:r>
      <w:r>
        <w:rPr>
          <w:rFonts w:hint="default" w:ascii="仿宋_GB2312" w:hAnsi="微软雅黑" w:eastAsia="仿宋_GB2312" w:cs="仿宋_GB2312"/>
          <w:i w:val="0"/>
          <w:iCs w:val="0"/>
          <w:caps w:val="0"/>
          <w:color w:val="333333"/>
          <w:spacing w:val="0"/>
          <w:kern w:val="0"/>
          <w:sz w:val="24"/>
          <w:szCs w:val="24"/>
          <w:bdr w:val="none" w:color="auto" w:sz="0" w:space="0"/>
          <w:shd w:val="clear" w:fill="FFFFFF"/>
          <w:lang w:val="en-US" w:eastAsia="zh-CN" w:bidi="ar"/>
        </w:rPr>
        <w:t>，</w:t>
      </w: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考生一旦填报志愿确定后，志愿锁定30小时不能修改。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4"/>
          <w:szCs w:val="24"/>
          <w:bdr w:val="none" w:color="auto" w:sz="0" w:space="0"/>
          <w:shd w:val="clear" w:fill="FFFFFF"/>
          <w:lang w:val="en-US" w:eastAsia="zh-CN" w:bidi="ar"/>
        </w:rPr>
        <w:t>2、不接收已被学校一志愿复试拟录取的考生调剂，不接收一志愿复试未录取的考生调剂到原专业再次复试（指同一个学院的同一个专业，注意学硕和专硕是不同专业）</w:t>
      </w:r>
      <w:r>
        <w:rPr>
          <w:rFonts w:hint="default" w:ascii="仿宋_GB2312" w:hAnsi="微软雅黑" w:eastAsia="仿宋_GB2312" w:cs="仿宋_GB2312"/>
          <w:i w:val="0"/>
          <w:iCs w:val="0"/>
          <w:caps w:val="0"/>
          <w:color w:val="111111"/>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560"/>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3</w:t>
      </w:r>
      <w:r>
        <w:rPr>
          <w:rFonts w:hint="default" w:ascii="仿宋_GB2312" w:hAnsi="微软雅黑" w:eastAsia="仿宋_GB2312" w:cs="仿宋_GB2312"/>
          <w:b/>
          <w:bCs/>
          <w:i w:val="0"/>
          <w:iCs w:val="0"/>
          <w:caps w:val="0"/>
          <w:color w:val="333333"/>
          <w:spacing w:val="0"/>
          <w:kern w:val="0"/>
          <w:sz w:val="28"/>
          <w:szCs w:val="28"/>
          <w:bdr w:val="none" w:color="auto" w:sz="0" w:space="0"/>
          <w:shd w:val="clear" w:fill="FFFFFF"/>
          <w:lang w:val="en-US" w:eastAsia="zh-CN" w:bidi="ar"/>
        </w:rPr>
        <w:t>、</w:t>
      </w: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申请调剂考生只能填写我校一个培养单位的一个专业或研究方向（即只能填写一个我校志愿，有研究方向的必须选择研究方向，考生的其他志愿可以填报其他学校，与我校不冲突），多报或不选研究方向视为无效报名。填报志愿时间截止时，医院在研招网下载考生志愿列表，剔除不合格考生（包括填报多志愿考生，不符合专业报考要求的考生等），随后在各个专业内，原则上按调剂该专业考生的初试成绩总分从高到低排序，同时综合考虑。如遇考生不按要求确认或调剂成功后放弃，将视情况补充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3、</w:t>
      </w:r>
      <w:r>
        <w:rPr>
          <w:rFonts w:hint="default" w:ascii="仿宋_GB2312" w:hAnsi="微软雅黑" w:eastAsia="仿宋_GB2312" w:cs="仿宋_GB2312"/>
          <w:i w:val="0"/>
          <w:iCs w:val="0"/>
          <w:caps w:val="0"/>
          <w:color w:val="3D3D3D"/>
          <w:spacing w:val="0"/>
          <w:kern w:val="0"/>
          <w:sz w:val="28"/>
          <w:szCs w:val="28"/>
          <w:bdr w:val="none" w:color="auto" w:sz="0" w:space="0"/>
          <w:shd w:val="clear" w:fill="FFFFFF"/>
          <w:lang w:val="en-US" w:eastAsia="zh-CN" w:bidi="ar"/>
        </w:rPr>
        <w:t>我院调剂复试采取差额形式，有缺额的专业在调剂生源充足的情况下，一般按照1:2左右的比例差额调剂复试，</w:t>
      </w: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合格生源不足差额比例的学科（专业），所有满足本学科（专业）复试基本要求的考生均可参加复试。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4、考生一旦“确认拟录取”则视为同意被学校拟录取，应对本人行为负责，诚信应考，不得以任何理由提出取消拟录取资格。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b/>
          <w:bCs/>
          <w:i w:val="0"/>
          <w:iCs w:val="0"/>
          <w:caps w:val="0"/>
          <w:color w:val="333333"/>
          <w:spacing w:val="0"/>
          <w:kern w:val="0"/>
          <w:sz w:val="28"/>
          <w:szCs w:val="28"/>
          <w:bdr w:val="none" w:color="auto" w:sz="0" w:space="0"/>
          <w:shd w:val="clear" w:fill="FFFFFF"/>
          <w:lang w:val="en-US" w:eastAsia="zh-CN" w:bidi="ar"/>
        </w:rPr>
        <w:t>四、调剂工作流程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1、4月6日，考生线上填写志愿，如遇网络堵塞问题或调剂系统问题，学校将研究处理并及时告知。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2、4月7日上午，在研招网下载考生最终志愿并审核；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3、4月7日下午，对申请调剂志愿考生（剔除无效报名）进行审查和筛选，对符合条件的考生下发复试通知，具体以研招网发布通知为准。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4、4月7-8日左右，考生自行登陆全国硕士生招生调剂服务系统确认“同意参加复试”，过时不确认视为放弃，具体以研招网发布通知内容为准。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5、我院调剂复试采取院内现场（线下）形式，复试具体时间另行通知，请关注医院官网信息。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5、现场复试结束后，通过调剂系统给拟录取考生发放拟录取通知。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6、拟录取考生自行登陆全国硕士生招生调剂服务系统“确认拟录取”，不按要求确认视为放弃。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b/>
          <w:bCs/>
          <w:i w:val="0"/>
          <w:iCs w:val="0"/>
          <w:caps w:val="0"/>
          <w:color w:val="333333"/>
          <w:spacing w:val="0"/>
          <w:kern w:val="0"/>
          <w:sz w:val="28"/>
          <w:szCs w:val="28"/>
          <w:bdr w:val="none" w:color="auto" w:sz="0" w:space="0"/>
          <w:shd w:val="clear" w:fill="FFFFFF"/>
          <w:lang w:val="en-US" w:eastAsia="zh-CN" w:bidi="ar"/>
        </w:rPr>
        <w:t>五、退役大学生士兵专项硕士研究生招生计划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目前暂时均已完成招生计划，不再接收该专项调剂。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645"/>
        <w:jc w:val="lef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如上级主管部门出台新的政策，以新政策为准，如有变化，另行通知。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3840"/>
        <w:jc w:val="righ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            亳州市人民医院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firstLine="420"/>
        <w:jc w:val="right"/>
      </w:pPr>
      <w:r>
        <w:rPr>
          <w:rFonts w:hint="default" w:ascii="仿宋_GB2312" w:hAnsi="微软雅黑" w:eastAsia="仿宋_GB2312" w:cs="仿宋_GB2312"/>
          <w:i w:val="0"/>
          <w:iCs w:val="0"/>
          <w:caps w:val="0"/>
          <w:color w:val="333333"/>
          <w:spacing w:val="0"/>
          <w:kern w:val="0"/>
          <w:sz w:val="28"/>
          <w:szCs w:val="28"/>
          <w:bdr w:val="none" w:color="auto" w:sz="0" w:space="0"/>
          <w:shd w:val="clear" w:fill="FFFFFF"/>
          <w:lang w:val="en-US" w:eastAsia="zh-CN" w:bidi="ar"/>
        </w:rPr>
        <w:t>                                           2023年4月5日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0" w:right="0"/>
        <w:jc w:val="center"/>
        <w:rPr>
          <w:color w:val="999999"/>
          <w:sz w:val="12"/>
          <w:szCs w:val="12"/>
        </w:rPr>
      </w:pPr>
      <w:r>
        <w:rPr>
          <w:rFonts w:hint="eastAsia" w:ascii="微软雅黑" w:hAnsi="微软雅黑" w:eastAsia="微软雅黑" w:cs="微软雅黑"/>
          <w:i w:val="0"/>
          <w:iCs w:val="0"/>
          <w:caps w:val="0"/>
          <w:color w:val="999999"/>
          <w:spacing w:val="0"/>
          <w:sz w:val="12"/>
          <w:szCs w:val="12"/>
          <w:bdr w:val="none" w:color="auto" w:sz="0" w:space="0"/>
          <w:shd w:val="clear" w:fill="FFFFFF"/>
        </w:rPr>
        <w:t>扫一扫在手机打开当前页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D3D3D"/>
          <w:spacing w:val="0"/>
          <w:sz w:val="16"/>
          <w:szCs w:val="16"/>
        </w:rPr>
      </w:pPr>
      <w:r>
        <w:rPr>
          <w:rFonts w:hint="eastAsia" w:ascii="微软雅黑" w:hAnsi="微软雅黑" w:eastAsia="微软雅黑" w:cs="微软雅黑"/>
          <w:i w:val="0"/>
          <w:iCs w:val="0"/>
          <w:caps w:val="0"/>
          <w:color w:val="3D3D3D"/>
          <w:spacing w:val="0"/>
          <w:kern w:val="0"/>
          <w:sz w:val="16"/>
          <w:szCs w:val="16"/>
          <w:bdr w:val="none" w:color="auto" w:sz="0" w:space="0"/>
          <w:shd w:val="clear" w:fill="FFFFFF"/>
          <w:lang w:val="en-US" w:eastAsia="zh-CN" w:bidi="ar"/>
        </w:rPr>
        <w:drawing>
          <wp:inline distT="0" distB="0" distL="114300" distR="114300">
            <wp:extent cx="1143000" cy="11430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143000" cy="1143000"/>
                    </a:xfrm>
                    <a:prstGeom prst="rect">
                      <a:avLst/>
                    </a:prstGeom>
                    <a:noFill/>
                    <a:ln w="9525">
                      <a:noFill/>
                    </a:ln>
                  </pic:spPr>
                </pic:pic>
              </a:graphicData>
            </a:graphic>
          </wp:inline>
        </w:drawing>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hanging="36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FAE9C9"/>
    <w:multiLevelType w:val="multilevel"/>
    <w:tmpl w:val="48FAE9C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D241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2023-05-26T06:23:52Z</dcterms:created>
  <dc:creator>Administrator</dc:creator>
  <cp:lastModifiedBy>王英</cp:lastModifiedBy>
  <dcterms:modified xsi:type="dcterms:W3CDTF">2023-05-26T06:24:01Z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0CFD4AE511664C62B73A9213B482EB41</vt:lpwstr>
  </property>
</Properties>
</file>