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400" w:lineRule="atLeast"/>
        <w:ind w:left="0" w:right="0"/>
        <w:jc w:val="center"/>
        <w:rPr>
          <w:b w:val="0"/>
          <w:bCs w:val="0"/>
          <w:color w:val="333333"/>
          <w:sz w:val="28"/>
          <w:szCs w:val="28"/>
        </w:rPr>
      </w:pPr>
      <w:bookmarkStart w:id="0" w:name="_GoBack"/>
      <w:r>
        <w:rPr>
          <w:b w:val="0"/>
          <w:bCs w:val="0"/>
          <w:i w:val="0"/>
          <w:iCs w:val="0"/>
          <w:caps w:val="0"/>
          <w:color w:val="333333"/>
          <w:spacing w:val="0"/>
          <w:sz w:val="28"/>
          <w:szCs w:val="28"/>
          <w:bdr w:val="none" w:color="auto" w:sz="0" w:space="0"/>
        </w:rPr>
        <w:t>安徽医科大学第三附属医院2023年硕士研究生招生生源调剂方案</w:t>
      </w:r>
    </w:p>
    <w:bookmarkEnd w:id="0"/>
    <w:p>
      <w:pPr>
        <w:keepNext w:val="0"/>
        <w:keepLines w:val="0"/>
        <w:widowControl/>
        <w:suppressLineNumbers w:val="0"/>
        <w:pBdr>
          <w:top w:val="none" w:color="auto" w:sz="0" w:space="0"/>
          <w:left w:val="none" w:color="auto" w:sz="0" w:space="0"/>
          <w:bottom w:val="single" w:color="E5E5E5" w:sz="4" w:space="0"/>
          <w:right w:val="none" w:color="auto" w:sz="0" w:space="0"/>
        </w:pBdr>
        <w:spacing w:before="0" w:beforeAutospacing="0" w:after="0" w:afterAutospacing="0" w:line="300" w:lineRule="atLeast"/>
        <w:ind w:left="0" w:right="0" w:firstLine="0"/>
        <w:jc w:val="center"/>
        <w:rPr>
          <w:rFonts w:ascii="Arial" w:hAnsi="Arial" w:cs="Arial"/>
          <w:i w:val="0"/>
          <w:iCs w:val="0"/>
          <w:caps w:val="0"/>
          <w:color w:val="808080"/>
          <w:spacing w:val="0"/>
          <w:sz w:val="14"/>
          <w:szCs w:val="14"/>
        </w:rPr>
      </w:pPr>
      <w:r>
        <w:rPr>
          <w:rFonts w:hint="default" w:ascii="Arial" w:hAnsi="Arial" w:eastAsia="宋体" w:cs="Arial"/>
          <w:i w:val="0"/>
          <w:iCs w:val="0"/>
          <w:caps w:val="0"/>
          <w:color w:val="808080"/>
          <w:spacing w:val="0"/>
          <w:kern w:val="0"/>
          <w:sz w:val="14"/>
          <w:szCs w:val="14"/>
          <w:bdr w:val="none" w:color="auto" w:sz="0" w:space="0"/>
          <w:lang w:val="en-US" w:eastAsia="zh-CN" w:bidi="ar"/>
        </w:rPr>
        <w:t>2023-04-07 来源：浏览量：901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430"/>
        <w:rPr>
          <w:i w:val="0"/>
          <w:iCs w:val="0"/>
          <w:color w:val="333333"/>
        </w:rPr>
      </w:pPr>
      <w:r>
        <w:rPr>
          <w:rFonts w:ascii="仿宋_GB2312" w:eastAsia="仿宋_GB2312" w:cs="仿宋_GB2312"/>
          <w:i w:val="0"/>
          <w:iCs w:val="0"/>
          <w:color w:val="333333"/>
          <w:sz w:val="21"/>
          <w:szCs w:val="21"/>
          <w:bdr w:val="none" w:color="auto" w:sz="0" w:space="0"/>
        </w:rPr>
        <w:t>为进一步加强</w:t>
      </w:r>
      <w:r>
        <w:rPr>
          <w:rFonts w:hint="default" w:ascii="仿宋_GB2312" w:eastAsia="仿宋_GB2312" w:cs="仿宋_GB2312"/>
          <w:i w:val="0"/>
          <w:iCs w:val="0"/>
          <w:color w:val="333333"/>
          <w:sz w:val="21"/>
          <w:szCs w:val="21"/>
          <w:bdr w:val="none" w:color="auto" w:sz="0" w:space="0"/>
        </w:rPr>
        <w:t>我院2023年硕士研究生招生生源调剂管理工作，根据教育部《2023年全国硕士研究生招生工作管理规定》、《关于做好2023年全国硕士研究生招生录取工作的通知》、《安徽医科大学2023年硕士研究生招生生源调剂方案》等文件及会议精神，制定本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430"/>
        <w:rPr>
          <w:i w:val="0"/>
          <w:iCs w:val="0"/>
          <w:color w:val="333333"/>
        </w:rPr>
      </w:pPr>
      <w:r>
        <w:rPr>
          <w:rFonts w:hint="default" w:ascii="仿宋_GB2312" w:eastAsia="仿宋_GB2312" w:cs="仿宋_GB2312"/>
          <w:i w:val="0"/>
          <w:iCs w:val="0"/>
          <w:color w:val="333333"/>
          <w:sz w:val="21"/>
          <w:szCs w:val="21"/>
          <w:bdr w:val="none" w:color="auto" w:sz="0" w:space="0"/>
        </w:rPr>
        <w:t>一、调剂原则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430"/>
        <w:rPr>
          <w:i w:val="0"/>
          <w:iCs w:val="0"/>
          <w:color w:val="333333"/>
        </w:rPr>
      </w:pPr>
      <w:r>
        <w:rPr>
          <w:rFonts w:hint="default" w:ascii="仿宋_GB2312" w:eastAsia="仿宋_GB2312" w:cs="仿宋_GB2312"/>
          <w:i w:val="0"/>
          <w:iCs w:val="0"/>
          <w:color w:val="333333"/>
          <w:sz w:val="21"/>
          <w:szCs w:val="21"/>
          <w:bdr w:val="none" w:color="auto" w:sz="0" w:space="0"/>
        </w:rPr>
        <w:t>生源调剂遵循公开透明、公平公正、考生自愿的原则。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430"/>
        <w:rPr>
          <w:i w:val="0"/>
          <w:iCs w:val="0"/>
          <w:color w:val="333333"/>
        </w:rPr>
      </w:pPr>
      <w:r>
        <w:rPr>
          <w:rFonts w:hint="default" w:ascii="仿宋_GB2312" w:eastAsia="仿宋_GB2312" w:cs="仿宋_GB2312"/>
          <w:i w:val="0"/>
          <w:iCs w:val="0"/>
          <w:color w:val="333333"/>
          <w:sz w:val="21"/>
          <w:szCs w:val="21"/>
          <w:bdr w:val="none" w:color="auto" w:sz="0" w:space="0"/>
        </w:rPr>
        <w:t>二、生源调剂基本条件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430"/>
        <w:rPr>
          <w:i w:val="0"/>
          <w:iCs w:val="0"/>
          <w:color w:val="333333"/>
        </w:rPr>
      </w:pPr>
      <w:r>
        <w:rPr>
          <w:rFonts w:hint="default" w:ascii="仿宋_GB2312" w:eastAsia="仿宋_GB2312" w:cs="仿宋_GB2312"/>
          <w:i w:val="0"/>
          <w:iCs w:val="0"/>
          <w:color w:val="333333"/>
          <w:sz w:val="21"/>
          <w:szCs w:val="21"/>
          <w:bdr w:val="none" w:color="auto" w:sz="0" w:space="0"/>
        </w:rPr>
        <w:t>1.考生成绩（单科、总分）须达到安徽医科大学规定的复试分数线要求（国家复试</w:t>
      </w:r>
      <w:r>
        <w:rPr>
          <w:rFonts w:ascii="Calibri" w:hAnsi="Calibri" w:eastAsia="仿宋_GB2312" w:cs="Calibri"/>
          <w:i w:val="0"/>
          <w:iCs w:val="0"/>
          <w:color w:val="333333"/>
          <w:sz w:val="21"/>
          <w:szCs w:val="21"/>
          <w:bdr w:val="none" w:color="auto" w:sz="0" w:space="0"/>
        </w:rPr>
        <w:t> </w:t>
      </w:r>
      <w:r>
        <w:rPr>
          <w:rFonts w:hint="default" w:ascii="仿宋_GB2312" w:eastAsia="仿宋_GB2312" w:cs="仿宋_GB2312"/>
          <w:i w:val="0"/>
          <w:iCs w:val="0"/>
          <w:color w:val="333333"/>
          <w:sz w:val="21"/>
          <w:szCs w:val="21"/>
          <w:bdr w:val="none" w:color="auto" w:sz="0" w:space="0"/>
        </w:rPr>
        <w:t>A类线），</w:t>
      </w:r>
      <w:r>
        <w:rPr>
          <w:rFonts w:hint="default" w:ascii="仿宋_GB2312" w:eastAsia="仿宋_GB2312" w:cs="仿宋_GB2312"/>
          <w:i w:val="0"/>
          <w:iCs w:val="0"/>
          <w:color w:val="333333"/>
          <w:sz w:val="21"/>
          <w:szCs w:val="21"/>
          <w:u w:val="single"/>
          <w:bdr w:val="none" w:color="auto" w:sz="0" w:space="0"/>
        </w:rPr>
        <w:t>其中临床医学专业学位各专业（专业代码1051开头）调剂考生分数线为总分310分，单科达国家复试</w:t>
      </w:r>
      <w:r>
        <w:rPr>
          <w:rFonts w:hint="default" w:ascii="Calibri" w:hAnsi="Calibri" w:eastAsia="仿宋_GB2312" w:cs="Calibri"/>
          <w:i w:val="0"/>
          <w:iCs w:val="0"/>
          <w:color w:val="333333"/>
          <w:sz w:val="21"/>
          <w:szCs w:val="21"/>
          <w:u w:val="single"/>
          <w:bdr w:val="none" w:color="auto" w:sz="0" w:space="0"/>
        </w:rPr>
        <w:t> </w:t>
      </w:r>
      <w:r>
        <w:rPr>
          <w:rFonts w:hint="default" w:ascii="仿宋_GB2312" w:eastAsia="仿宋_GB2312" w:cs="仿宋_GB2312"/>
          <w:i w:val="0"/>
          <w:iCs w:val="0"/>
          <w:color w:val="333333"/>
          <w:sz w:val="21"/>
          <w:szCs w:val="21"/>
          <w:u w:val="single"/>
          <w:bdr w:val="none" w:color="auto" w:sz="0" w:space="0"/>
        </w:rPr>
        <w:t>A类线。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430"/>
        <w:rPr>
          <w:i w:val="0"/>
          <w:iCs w:val="0"/>
          <w:color w:val="333333"/>
        </w:rPr>
      </w:pPr>
      <w:r>
        <w:rPr>
          <w:rFonts w:hint="default" w:ascii="仿宋_GB2312" w:eastAsia="仿宋_GB2312" w:cs="仿宋_GB2312"/>
          <w:i w:val="0"/>
          <w:iCs w:val="0"/>
          <w:color w:val="333333"/>
          <w:sz w:val="21"/>
          <w:szCs w:val="21"/>
          <w:bdr w:val="none" w:color="auto" w:sz="0" w:space="0"/>
        </w:rPr>
        <w:t>2.符合安徽医科大学招生报考指南及专业目录所规定的报考要求（</w:t>
      </w:r>
      <w:r>
        <w:rPr>
          <w:rFonts w:hint="default" w:ascii="仿宋_GB2312" w:eastAsia="仿宋_GB2312" w:cs="仿宋_GB2312"/>
          <w:i w:val="0"/>
          <w:iCs w:val="0"/>
          <w:color w:val="333333"/>
          <w:sz w:val="21"/>
          <w:szCs w:val="21"/>
          <w:u w:val="single"/>
          <w:bdr w:val="none" w:color="auto" w:sz="0" w:space="0"/>
        </w:rPr>
        <w:t>如英语、学历、学制、学习形式要求等，具体见招生章程及专业目录，特别要注意备注栏目的要求</w:t>
      </w:r>
      <w:r>
        <w:rPr>
          <w:rFonts w:hint="default" w:ascii="仿宋_GB2312" w:eastAsia="仿宋_GB2312" w:cs="仿宋_GB2312"/>
          <w:i w:val="0"/>
          <w:iCs w:val="0"/>
          <w:color w:val="333333"/>
          <w:sz w:val="21"/>
          <w:szCs w:val="21"/>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430"/>
        <w:rPr>
          <w:i w:val="0"/>
          <w:iCs w:val="0"/>
          <w:color w:val="333333"/>
        </w:rPr>
      </w:pPr>
      <w:r>
        <w:rPr>
          <w:rFonts w:hint="default" w:ascii="仿宋_GB2312" w:eastAsia="仿宋_GB2312" w:cs="仿宋_GB2312"/>
          <w:i w:val="0"/>
          <w:iCs w:val="0"/>
          <w:color w:val="333333"/>
          <w:sz w:val="21"/>
          <w:szCs w:val="21"/>
          <w:bdr w:val="none" w:color="auto" w:sz="0" w:space="0"/>
        </w:rPr>
        <w:t>3.调入专业与第一志愿报考专业相同或相近，应在同一学科门类范围内。初试科目与调入专业初试科目相同或相近，其中初试全国统一命题科目应与调入专业全国统一命题科目相同。满足教育部有关调剂的其它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430"/>
        <w:rPr>
          <w:i w:val="0"/>
          <w:iCs w:val="0"/>
          <w:color w:val="333333"/>
        </w:rPr>
      </w:pPr>
      <w:r>
        <w:rPr>
          <w:rFonts w:hint="default" w:ascii="仿宋_GB2312" w:eastAsia="仿宋_GB2312" w:cs="仿宋_GB2312"/>
          <w:i w:val="0"/>
          <w:iCs w:val="0"/>
          <w:color w:val="333333"/>
          <w:sz w:val="21"/>
          <w:szCs w:val="21"/>
          <w:bdr w:val="none" w:color="auto" w:sz="0" w:space="0"/>
        </w:rPr>
        <w:t>4.临床医学和口腔医学一级学科各专业：报考临床医学类专业学位硕士研究生的考生可按相关政策调剂到其他专业，报考其他专业（含医学学术学位）的考生不可调剂到临床医学类专业学位；对于本科阶段为临床医学二级学科专业的专业学位考生，如申请调剂专业学位，只能申请调剂到相同的二级学科专业（详见招生简章说明）；一志愿报考非临床（口腔）医学专业的考生不能调入临床（口腔）医学，且临床医学和口腔医学不能互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430"/>
        <w:rPr>
          <w:i w:val="0"/>
          <w:iCs w:val="0"/>
          <w:color w:val="333333"/>
        </w:rPr>
      </w:pPr>
      <w:r>
        <w:rPr>
          <w:rFonts w:hint="default" w:ascii="仿宋_GB2312" w:eastAsia="仿宋_GB2312" w:cs="仿宋_GB2312"/>
          <w:i w:val="0"/>
          <w:iCs w:val="0"/>
          <w:color w:val="333333"/>
          <w:sz w:val="21"/>
          <w:szCs w:val="21"/>
          <w:bdr w:val="none" w:color="auto" w:sz="0" w:space="0"/>
        </w:rPr>
        <w:t>5.未经网上公示的缺额，一律不调剂考生。所有专业均不接受同等学力考生调剂。非全日制仅接收在职定向就业人员调剂，其他与全日制考生各项调剂要求一致。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430"/>
        <w:rPr>
          <w:i w:val="0"/>
          <w:iCs w:val="0"/>
          <w:color w:val="333333"/>
        </w:rPr>
      </w:pPr>
      <w:r>
        <w:rPr>
          <w:rFonts w:hint="default" w:ascii="仿宋_GB2312" w:eastAsia="仿宋_GB2312" w:cs="仿宋_GB2312"/>
          <w:i w:val="0"/>
          <w:iCs w:val="0"/>
          <w:color w:val="333333"/>
          <w:sz w:val="21"/>
          <w:szCs w:val="21"/>
          <w:bdr w:val="none" w:color="auto" w:sz="0" w:space="0"/>
        </w:rPr>
        <w:t>6.在培住院医师规范化培训学员、已取得《住院医师规范化培训合格证书》人员以及退出规培三年内的人员不得报考、不得调剂临床医学和口腔医学硕士专业学位研究生；农村订单定向免费培养医学生不得报考、不得调剂全日制硕士研究生（上级有关部门文件规定的特定情形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430"/>
        <w:rPr>
          <w:i w:val="0"/>
          <w:iCs w:val="0"/>
          <w:color w:val="333333"/>
        </w:rPr>
      </w:pPr>
      <w:r>
        <w:rPr>
          <w:rFonts w:hint="default" w:ascii="仿宋_GB2312" w:eastAsia="仿宋_GB2312" w:cs="仿宋_GB2312"/>
          <w:i w:val="0"/>
          <w:iCs w:val="0"/>
          <w:color w:val="333333"/>
          <w:sz w:val="21"/>
          <w:szCs w:val="21"/>
          <w:bdr w:val="none" w:color="auto" w:sz="0" w:space="0"/>
        </w:rPr>
        <w:t>三、调剂复试安排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380"/>
        <w:rPr>
          <w:i w:val="0"/>
          <w:iCs w:val="0"/>
          <w:color w:val="333333"/>
        </w:rPr>
      </w:pPr>
      <w:r>
        <w:rPr>
          <w:rFonts w:hint="default" w:ascii="仿宋_GB2312" w:eastAsia="仿宋_GB2312" w:cs="仿宋_GB2312"/>
          <w:i w:val="0"/>
          <w:iCs w:val="0"/>
          <w:color w:val="333333"/>
          <w:sz w:val="21"/>
          <w:szCs w:val="21"/>
          <w:bdr w:val="none" w:color="auto" w:sz="0" w:space="0"/>
        </w:rPr>
        <w:t>（一）调剂复试方式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380"/>
        <w:rPr>
          <w:i w:val="0"/>
          <w:iCs w:val="0"/>
          <w:color w:val="333333"/>
        </w:rPr>
      </w:pPr>
      <w:r>
        <w:rPr>
          <w:rFonts w:hint="default" w:ascii="仿宋_GB2312" w:eastAsia="仿宋_GB2312" w:cs="仿宋_GB2312"/>
          <w:i w:val="0"/>
          <w:iCs w:val="0"/>
          <w:color w:val="333333"/>
          <w:sz w:val="21"/>
          <w:szCs w:val="21"/>
          <w:bdr w:val="none" w:color="auto" w:sz="0" w:space="0"/>
        </w:rPr>
        <w:t>我院2023年硕士研究生招生考试调剂复试工作采用现场复试，根据总成绩排名。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380"/>
        <w:rPr>
          <w:i w:val="0"/>
          <w:iCs w:val="0"/>
          <w:color w:val="333333"/>
        </w:rPr>
      </w:pPr>
      <w:r>
        <w:rPr>
          <w:rFonts w:hint="default" w:ascii="仿宋_GB2312" w:eastAsia="仿宋_GB2312" w:cs="仿宋_GB2312"/>
          <w:i w:val="0"/>
          <w:iCs w:val="0"/>
          <w:color w:val="333333"/>
          <w:sz w:val="21"/>
          <w:szCs w:val="21"/>
          <w:bdr w:val="none" w:color="auto" w:sz="0" w:space="0"/>
        </w:rPr>
        <w:t>（二）调剂复试内容及形式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380"/>
        <w:rPr>
          <w:i w:val="0"/>
          <w:iCs w:val="0"/>
          <w:color w:val="333333"/>
        </w:rPr>
      </w:pPr>
      <w:r>
        <w:rPr>
          <w:rFonts w:hint="default" w:ascii="仿宋_GB2312" w:eastAsia="仿宋_GB2312" w:cs="仿宋_GB2312"/>
          <w:i w:val="0"/>
          <w:iCs w:val="0"/>
          <w:color w:val="333333"/>
          <w:sz w:val="21"/>
          <w:szCs w:val="21"/>
          <w:bdr w:val="none" w:color="auto" w:sz="0" w:space="0"/>
        </w:rPr>
        <w:t>调剂复试由专业素养考核、专业英语考核和综合能力考核三部分组成。我院根据学科特点和专业要求，在确保调剂复试考核科学有效、公平公正和可操作的前提下，科学设计流程，优化程序。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380"/>
        <w:rPr>
          <w:i w:val="0"/>
          <w:iCs w:val="0"/>
          <w:color w:val="333333"/>
        </w:rPr>
      </w:pPr>
      <w:r>
        <w:rPr>
          <w:rFonts w:hint="default" w:ascii="仿宋_GB2312" w:eastAsia="仿宋_GB2312" w:cs="仿宋_GB2312"/>
          <w:i w:val="0"/>
          <w:iCs w:val="0"/>
          <w:color w:val="333333"/>
          <w:sz w:val="21"/>
          <w:szCs w:val="21"/>
          <w:bdr w:val="none" w:color="auto" w:sz="0" w:space="0"/>
        </w:rPr>
        <w:t>1.专业素养考核（满分50分）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380"/>
        <w:rPr>
          <w:i w:val="0"/>
          <w:iCs w:val="0"/>
          <w:color w:val="333333"/>
        </w:rPr>
      </w:pPr>
      <w:r>
        <w:rPr>
          <w:rFonts w:hint="default" w:ascii="仿宋_GB2312" w:eastAsia="仿宋_GB2312" w:cs="仿宋_GB2312"/>
          <w:i w:val="0"/>
          <w:iCs w:val="0"/>
          <w:color w:val="333333"/>
          <w:sz w:val="21"/>
          <w:szCs w:val="21"/>
          <w:bdr w:val="none" w:color="auto" w:sz="0" w:space="0"/>
        </w:rPr>
        <w:t>我院自主组织专业理论知识、基本技能等专业相关素养的考核，采取命题考试的形式开展。其中专业知识考试满分30分；基本技能考核满分20分。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380"/>
        <w:rPr>
          <w:i w:val="0"/>
          <w:iCs w:val="0"/>
          <w:color w:val="333333"/>
        </w:rPr>
      </w:pPr>
      <w:r>
        <w:rPr>
          <w:rFonts w:hint="default" w:ascii="仿宋_GB2312" w:eastAsia="仿宋_GB2312" w:cs="仿宋_GB2312"/>
          <w:i w:val="0"/>
          <w:iCs w:val="0"/>
          <w:color w:val="333333"/>
          <w:sz w:val="21"/>
          <w:szCs w:val="21"/>
          <w:bdr w:val="none" w:color="auto" w:sz="0" w:space="0"/>
        </w:rPr>
        <w:t>2.专业英语考核（满分20分）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380"/>
        <w:rPr>
          <w:i w:val="0"/>
          <w:iCs w:val="0"/>
          <w:color w:val="333333"/>
        </w:rPr>
      </w:pPr>
      <w:r>
        <w:rPr>
          <w:rFonts w:hint="default" w:ascii="仿宋_GB2312" w:eastAsia="仿宋_GB2312" w:cs="仿宋_GB2312"/>
          <w:i w:val="0"/>
          <w:iCs w:val="0"/>
          <w:color w:val="333333"/>
          <w:sz w:val="21"/>
          <w:szCs w:val="21"/>
          <w:bdr w:val="none" w:color="auto" w:sz="0" w:space="0"/>
        </w:rPr>
        <w:t>我院自主组织专业英语应用能力的考核，以笔试形式开展。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380"/>
        <w:rPr>
          <w:i w:val="0"/>
          <w:iCs w:val="0"/>
          <w:color w:val="333333"/>
        </w:rPr>
      </w:pPr>
      <w:r>
        <w:rPr>
          <w:rFonts w:hint="default" w:ascii="仿宋_GB2312" w:eastAsia="仿宋_GB2312" w:cs="仿宋_GB2312"/>
          <w:i w:val="0"/>
          <w:iCs w:val="0"/>
          <w:color w:val="333333"/>
          <w:sz w:val="21"/>
          <w:szCs w:val="21"/>
          <w:bdr w:val="none" w:color="auto" w:sz="0" w:space="0"/>
        </w:rPr>
        <w:t>3.综合能力考核（满分30分）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380"/>
        <w:rPr>
          <w:i w:val="0"/>
          <w:iCs w:val="0"/>
          <w:color w:val="333333"/>
        </w:rPr>
      </w:pPr>
      <w:r>
        <w:rPr>
          <w:rFonts w:hint="default" w:ascii="仿宋_GB2312" w:eastAsia="仿宋_GB2312" w:cs="仿宋_GB2312"/>
          <w:i w:val="0"/>
          <w:iCs w:val="0"/>
          <w:color w:val="333333"/>
          <w:sz w:val="21"/>
          <w:szCs w:val="21"/>
          <w:bdr w:val="none" w:color="auto" w:sz="0" w:space="0"/>
        </w:rPr>
        <w:t>通过资料查验和面试形式考核，包括对考生大学期间的成绩、毕业论文、科研成果、获奖、专家推荐信等情况；考生既往学业、一贯表现、科研能力、综合素质和思想品德等情况；考生专业发展潜力、创新创业精神；专业外的社会实践表现；事业心、责任感、纪律性、协作性和心理健康状况；人文素养、语言表达和应变能力等的综合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380"/>
        <w:rPr>
          <w:i w:val="0"/>
          <w:iCs w:val="0"/>
          <w:color w:val="333333"/>
        </w:rPr>
      </w:pPr>
      <w:r>
        <w:rPr>
          <w:rFonts w:hint="default" w:ascii="仿宋_GB2312" w:eastAsia="仿宋_GB2312" w:cs="仿宋_GB2312"/>
          <w:i w:val="0"/>
          <w:iCs w:val="0"/>
          <w:color w:val="333333"/>
          <w:sz w:val="21"/>
          <w:szCs w:val="21"/>
          <w:bdr w:val="none" w:color="auto" w:sz="0" w:space="0"/>
        </w:rPr>
        <w:t>调剂复试由我院统一组织，并事先向考生公布复试时间、程序及相关安排。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380"/>
        <w:rPr>
          <w:i w:val="0"/>
          <w:iCs w:val="0"/>
          <w:color w:val="333333"/>
        </w:rPr>
      </w:pPr>
      <w:r>
        <w:rPr>
          <w:rFonts w:hint="default" w:ascii="仿宋_GB2312" w:eastAsia="仿宋_GB2312" w:cs="仿宋_GB2312"/>
          <w:i w:val="0"/>
          <w:iCs w:val="0"/>
          <w:color w:val="333333"/>
          <w:sz w:val="21"/>
          <w:szCs w:val="21"/>
          <w:bdr w:val="none" w:color="auto" w:sz="0" w:space="0"/>
        </w:rPr>
        <w:t>（三）计分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380"/>
        <w:rPr>
          <w:i w:val="0"/>
          <w:iCs w:val="0"/>
          <w:color w:val="333333"/>
        </w:rPr>
      </w:pPr>
      <w:r>
        <w:rPr>
          <w:rFonts w:hint="default" w:ascii="仿宋_GB2312" w:eastAsia="仿宋_GB2312" w:cs="仿宋_GB2312"/>
          <w:i w:val="0"/>
          <w:iCs w:val="0"/>
          <w:color w:val="333333"/>
          <w:sz w:val="21"/>
          <w:szCs w:val="21"/>
          <w:bdr w:val="none" w:color="auto" w:sz="0" w:space="0"/>
        </w:rPr>
        <w:t>1.调剂复试成绩（满分100分）＝专业素养成绩+专业英语成绩+综合能力成绩；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380"/>
        <w:rPr>
          <w:i w:val="0"/>
          <w:iCs w:val="0"/>
          <w:color w:val="333333"/>
        </w:rPr>
      </w:pPr>
      <w:r>
        <w:rPr>
          <w:rFonts w:hint="default" w:ascii="仿宋_GB2312" w:eastAsia="仿宋_GB2312" w:cs="仿宋_GB2312"/>
          <w:i w:val="0"/>
          <w:iCs w:val="0"/>
          <w:color w:val="333333"/>
          <w:sz w:val="21"/>
          <w:szCs w:val="21"/>
          <w:bdr w:val="none" w:color="auto" w:sz="0" w:space="0"/>
        </w:rPr>
        <w:t>2.总成绩（满分100分）＝（初试成绩</w:t>
      </w:r>
      <w:r>
        <w:rPr>
          <w:rFonts w:hint="default" w:ascii="Calibri" w:hAnsi="Calibri" w:eastAsia="仿宋_GB2312" w:cs="Calibri"/>
          <w:i w:val="0"/>
          <w:iCs w:val="0"/>
          <w:color w:val="333333"/>
          <w:sz w:val="21"/>
          <w:szCs w:val="21"/>
          <w:bdr w:val="none" w:color="auto" w:sz="0" w:space="0"/>
        </w:rPr>
        <w:t>÷</w:t>
      </w:r>
      <w:r>
        <w:rPr>
          <w:rFonts w:hint="default" w:ascii="仿宋_GB2312" w:eastAsia="仿宋_GB2312" w:cs="仿宋_GB2312"/>
          <w:i w:val="0"/>
          <w:iCs w:val="0"/>
          <w:color w:val="333333"/>
          <w:sz w:val="21"/>
          <w:szCs w:val="21"/>
          <w:bdr w:val="none" w:color="auto" w:sz="0" w:space="0"/>
        </w:rPr>
        <w:t>5）</w:t>
      </w:r>
      <w:r>
        <w:rPr>
          <w:rFonts w:hint="default" w:ascii="Calibri" w:hAnsi="Calibri" w:eastAsia="仿宋_GB2312" w:cs="Calibri"/>
          <w:i w:val="0"/>
          <w:iCs w:val="0"/>
          <w:color w:val="333333"/>
          <w:sz w:val="21"/>
          <w:szCs w:val="21"/>
          <w:bdr w:val="none" w:color="auto" w:sz="0" w:space="0"/>
        </w:rPr>
        <w:t>×</w:t>
      </w:r>
      <w:r>
        <w:rPr>
          <w:rFonts w:hint="default" w:ascii="仿宋_GB2312" w:eastAsia="仿宋_GB2312" w:cs="仿宋_GB2312"/>
          <w:i w:val="0"/>
          <w:iCs w:val="0"/>
          <w:color w:val="333333"/>
          <w:sz w:val="21"/>
          <w:szCs w:val="21"/>
          <w:bdr w:val="none" w:color="auto" w:sz="0" w:space="0"/>
        </w:rPr>
        <w:t>60％＋复试成绩</w:t>
      </w:r>
      <w:r>
        <w:rPr>
          <w:rFonts w:hint="default" w:ascii="Calibri" w:hAnsi="Calibri" w:eastAsia="仿宋_GB2312" w:cs="Calibri"/>
          <w:i w:val="0"/>
          <w:iCs w:val="0"/>
          <w:color w:val="333333"/>
          <w:sz w:val="21"/>
          <w:szCs w:val="21"/>
          <w:bdr w:val="none" w:color="auto" w:sz="0" w:space="0"/>
        </w:rPr>
        <w:t>×</w:t>
      </w:r>
      <w:r>
        <w:rPr>
          <w:rFonts w:hint="default" w:ascii="仿宋_GB2312" w:eastAsia="仿宋_GB2312" w:cs="仿宋_GB2312"/>
          <w:i w:val="0"/>
          <w:iCs w:val="0"/>
          <w:color w:val="333333"/>
          <w:sz w:val="21"/>
          <w:szCs w:val="21"/>
          <w:bdr w:val="none" w:color="auto" w:sz="0" w:space="0"/>
        </w:rPr>
        <w:t>40%。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380"/>
        <w:rPr>
          <w:i w:val="0"/>
          <w:iCs w:val="0"/>
          <w:color w:val="333333"/>
        </w:rPr>
      </w:pPr>
      <w:r>
        <w:rPr>
          <w:rFonts w:hint="default" w:ascii="仿宋_GB2312" w:eastAsia="仿宋_GB2312" w:cs="仿宋_GB2312"/>
          <w:i w:val="0"/>
          <w:iCs w:val="0"/>
          <w:color w:val="333333"/>
          <w:sz w:val="21"/>
          <w:szCs w:val="21"/>
          <w:bdr w:val="none" w:color="auto" w:sz="0" w:space="0"/>
        </w:rPr>
        <w:t>（四）复试要求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380"/>
        <w:rPr>
          <w:i w:val="0"/>
          <w:iCs w:val="0"/>
          <w:color w:val="333333"/>
        </w:rPr>
      </w:pPr>
      <w:r>
        <w:rPr>
          <w:rFonts w:hint="default" w:ascii="仿宋_GB2312" w:eastAsia="仿宋_GB2312" w:cs="仿宋_GB2312"/>
          <w:i w:val="0"/>
          <w:iCs w:val="0"/>
          <w:color w:val="333333"/>
          <w:sz w:val="21"/>
          <w:szCs w:val="21"/>
          <w:bdr w:val="none" w:color="auto" w:sz="0" w:space="0"/>
        </w:rPr>
        <w:t>调剂复试前，我院完成考生的《诚信复试承诺书》、初试准考证、有效居民身份证、学生证（应届生）或学历学位证书（往届生）、学历学籍核验结果、政审表等材料的审查核验工作。同时会同技术平台提供方，积极运用</w:t>
      </w:r>
      <w:r>
        <w:rPr>
          <w:rFonts w:hint="default" w:ascii="Calibri" w:hAnsi="Calibri" w:eastAsia="仿宋_GB2312" w:cs="Calibri"/>
          <w:i w:val="0"/>
          <w:iCs w:val="0"/>
          <w:color w:val="333333"/>
          <w:sz w:val="21"/>
          <w:szCs w:val="21"/>
          <w:bdr w:val="none" w:color="auto" w:sz="0" w:space="0"/>
        </w:rPr>
        <w:t>“</w:t>
      </w:r>
      <w:r>
        <w:rPr>
          <w:rFonts w:hint="default" w:ascii="仿宋_GB2312" w:eastAsia="仿宋_GB2312" w:cs="仿宋_GB2312"/>
          <w:i w:val="0"/>
          <w:iCs w:val="0"/>
          <w:color w:val="333333"/>
          <w:sz w:val="21"/>
          <w:szCs w:val="21"/>
          <w:bdr w:val="none" w:color="auto" w:sz="0" w:space="0"/>
        </w:rPr>
        <w:t>人脸识别</w:t>
      </w:r>
      <w:r>
        <w:rPr>
          <w:rFonts w:hint="default" w:ascii="Calibri" w:hAnsi="Calibri" w:eastAsia="仿宋_GB2312" w:cs="Calibri"/>
          <w:i w:val="0"/>
          <w:iCs w:val="0"/>
          <w:color w:val="333333"/>
          <w:sz w:val="21"/>
          <w:szCs w:val="21"/>
          <w:bdr w:val="none" w:color="auto" w:sz="0" w:space="0"/>
        </w:rPr>
        <w:t>”</w:t>
      </w:r>
      <w:r>
        <w:rPr>
          <w:rFonts w:hint="default" w:ascii="仿宋_GB2312" w:eastAsia="仿宋_GB2312" w:cs="仿宋_GB2312"/>
          <w:i w:val="0"/>
          <w:iCs w:val="0"/>
          <w:color w:val="333333"/>
          <w:sz w:val="21"/>
          <w:szCs w:val="21"/>
          <w:bdr w:val="none" w:color="auto" w:sz="0" w:space="0"/>
        </w:rPr>
        <w:t>、</w:t>
      </w:r>
      <w:r>
        <w:rPr>
          <w:rFonts w:hint="default" w:ascii="Calibri" w:hAnsi="Calibri" w:eastAsia="仿宋_GB2312" w:cs="Calibri"/>
          <w:i w:val="0"/>
          <w:iCs w:val="0"/>
          <w:color w:val="333333"/>
          <w:sz w:val="21"/>
          <w:szCs w:val="21"/>
          <w:bdr w:val="none" w:color="auto" w:sz="0" w:space="0"/>
        </w:rPr>
        <w:t>“</w:t>
      </w:r>
      <w:r>
        <w:rPr>
          <w:rFonts w:hint="default" w:ascii="仿宋_GB2312" w:eastAsia="仿宋_GB2312" w:cs="仿宋_GB2312"/>
          <w:i w:val="0"/>
          <w:iCs w:val="0"/>
          <w:color w:val="333333"/>
          <w:sz w:val="21"/>
          <w:szCs w:val="21"/>
          <w:bdr w:val="none" w:color="auto" w:sz="0" w:space="0"/>
        </w:rPr>
        <w:t>人证识别</w:t>
      </w:r>
      <w:r>
        <w:rPr>
          <w:rFonts w:hint="default" w:ascii="Calibri" w:hAnsi="Calibri" w:eastAsia="仿宋_GB2312" w:cs="Calibri"/>
          <w:i w:val="0"/>
          <w:iCs w:val="0"/>
          <w:color w:val="333333"/>
          <w:sz w:val="21"/>
          <w:szCs w:val="21"/>
          <w:bdr w:val="none" w:color="auto" w:sz="0" w:space="0"/>
        </w:rPr>
        <w:t>”</w:t>
      </w:r>
      <w:r>
        <w:rPr>
          <w:rFonts w:hint="default" w:ascii="仿宋_GB2312" w:eastAsia="仿宋_GB2312" w:cs="仿宋_GB2312"/>
          <w:i w:val="0"/>
          <w:iCs w:val="0"/>
          <w:color w:val="333333"/>
          <w:sz w:val="21"/>
          <w:szCs w:val="21"/>
          <w:bdr w:val="none" w:color="auto" w:sz="0" w:space="0"/>
        </w:rPr>
        <w:t>等技术，并通过综合比对</w:t>
      </w:r>
      <w:r>
        <w:rPr>
          <w:rFonts w:hint="default" w:ascii="Calibri" w:hAnsi="Calibri" w:eastAsia="仿宋_GB2312" w:cs="Calibri"/>
          <w:i w:val="0"/>
          <w:iCs w:val="0"/>
          <w:color w:val="333333"/>
          <w:sz w:val="21"/>
          <w:szCs w:val="21"/>
          <w:bdr w:val="none" w:color="auto" w:sz="0" w:space="0"/>
        </w:rPr>
        <w:t>“</w:t>
      </w:r>
      <w:r>
        <w:rPr>
          <w:rFonts w:hint="default" w:ascii="仿宋_GB2312" w:eastAsia="仿宋_GB2312" w:cs="仿宋_GB2312"/>
          <w:i w:val="0"/>
          <w:iCs w:val="0"/>
          <w:color w:val="333333"/>
          <w:sz w:val="21"/>
          <w:szCs w:val="21"/>
          <w:bdr w:val="none" w:color="auto" w:sz="0" w:space="0"/>
        </w:rPr>
        <w:t>报考库</w:t>
      </w:r>
      <w:r>
        <w:rPr>
          <w:rFonts w:hint="default" w:ascii="Calibri" w:hAnsi="Calibri" w:eastAsia="仿宋_GB2312" w:cs="Calibri"/>
          <w:i w:val="0"/>
          <w:iCs w:val="0"/>
          <w:color w:val="333333"/>
          <w:sz w:val="21"/>
          <w:szCs w:val="21"/>
          <w:bdr w:val="none" w:color="auto" w:sz="0" w:space="0"/>
        </w:rPr>
        <w:t>”</w:t>
      </w:r>
      <w:r>
        <w:rPr>
          <w:rFonts w:hint="default" w:ascii="仿宋_GB2312" w:eastAsia="仿宋_GB2312" w:cs="仿宋_GB2312"/>
          <w:i w:val="0"/>
          <w:iCs w:val="0"/>
          <w:color w:val="333333"/>
          <w:sz w:val="21"/>
          <w:szCs w:val="21"/>
          <w:bdr w:val="none" w:color="auto" w:sz="0" w:space="0"/>
        </w:rPr>
        <w:t>、</w:t>
      </w:r>
      <w:r>
        <w:rPr>
          <w:rFonts w:hint="default" w:ascii="Calibri" w:hAnsi="Calibri" w:eastAsia="仿宋_GB2312" w:cs="Calibri"/>
          <w:i w:val="0"/>
          <w:iCs w:val="0"/>
          <w:color w:val="333333"/>
          <w:sz w:val="21"/>
          <w:szCs w:val="21"/>
          <w:bdr w:val="none" w:color="auto" w:sz="0" w:space="0"/>
        </w:rPr>
        <w:t>“</w:t>
      </w:r>
      <w:r>
        <w:rPr>
          <w:rFonts w:hint="default" w:ascii="仿宋_GB2312" w:eastAsia="仿宋_GB2312" w:cs="仿宋_GB2312"/>
          <w:i w:val="0"/>
          <w:iCs w:val="0"/>
          <w:color w:val="333333"/>
          <w:sz w:val="21"/>
          <w:szCs w:val="21"/>
          <w:bdr w:val="none" w:color="auto" w:sz="0" w:space="0"/>
        </w:rPr>
        <w:t>学籍学历库</w:t>
      </w:r>
      <w:r>
        <w:rPr>
          <w:rFonts w:hint="default" w:ascii="Calibri" w:hAnsi="Calibri" w:eastAsia="仿宋_GB2312" w:cs="Calibri"/>
          <w:i w:val="0"/>
          <w:iCs w:val="0"/>
          <w:color w:val="333333"/>
          <w:sz w:val="21"/>
          <w:szCs w:val="21"/>
          <w:bdr w:val="none" w:color="auto" w:sz="0" w:space="0"/>
        </w:rPr>
        <w:t>”</w:t>
      </w:r>
      <w:r>
        <w:rPr>
          <w:rFonts w:hint="default" w:ascii="仿宋_GB2312" w:eastAsia="仿宋_GB2312" w:cs="仿宋_GB2312"/>
          <w:i w:val="0"/>
          <w:iCs w:val="0"/>
          <w:color w:val="333333"/>
          <w:sz w:val="21"/>
          <w:szCs w:val="21"/>
          <w:bdr w:val="none" w:color="auto" w:sz="0" w:space="0"/>
        </w:rPr>
        <w:t>、</w:t>
      </w:r>
      <w:r>
        <w:rPr>
          <w:rFonts w:hint="default" w:ascii="Calibri" w:hAnsi="Calibri" w:eastAsia="仿宋_GB2312" w:cs="Calibri"/>
          <w:i w:val="0"/>
          <w:iCs w:val="0"/>
          <w:color w:val="333333"/>
          <w:sz w:val="21"/>
          <w:szCs w:val="21"/>
          <w:bdr w:val="none" w:color="auto" w:sz="0" w:space="0"/>
        </w:rPr>
        <w:t>“</w:t>
      </w:r>
      <w:r>
        <w:rPr>
          <w:rFonts w:hint="default" w:ascii="仿宋_GB2312" w:eastAsia="仿宋_GB2312" w:cs="仿宋_GB2312"/>
          <w:i w:val="0"/>
          <w:iCs w:val="0"/>
          <w:color w:val="333333"/>
          <w:sz w:val="21"/>
          <w:szCs w:val="21"/>
          <w:bdr w:val="none" w:color="auto" w:sz="0" w:space="0"/>
        </w:rPr>
        <w:t>人口信息库</w:t>
      </w:r>
      <w:r>
        <w:rPr>
          <w:rFonts w:hint="default" w:ascii="Calibri" w:hAnsi="Calibri" w:eastAsia="仿宋_GB2312" w:cs="Calibri"/>
          <w:i w:val="0"/>
          <w:iCs w:val="0"/>
          <w:color w:val="333333"/>
          <w:sz w:val="21"/>
          <w:szCs w:val="21"/>
          <w:bdr w:val="none" w:color="auto" w:sz="0" w:space="0"/>
        </w:rPr>
        <w:t>”</w:t>
      </w:r>
      <w:r>
        <w:rPr>
          <w:rFonts w:hint="default" w:ascii="仿宋_GB2312" w:eastAsia="仿宋_GB2312" w:cs="仿宋_GB2312"/>
          <w:i w:val="0"/>
          <w:iCs w:val="0"/>
          <w:color w:val="333333"/>
          <w:sz w:val="21"/>
          <w:szCs w:val="21"/>
          <w:bdr w:val="none" w:color="auto" w:sz="0" w:space="0"/>
        </w:rPr>
        <w:t>、</w:t>
      </w:r>
      <w:r>
        <w:rPr>
          <w:rFonts w:hint="default" w:ascii="Calibri" w:hAnsi="Calibri" w:eastAsia="仿宋_GB2312" w:cs="Calibri"/>
          <w:i w:val="0"/>
          <w:iCs w:val="0"/>
          <w:color w:val="333333"/>
          <w:sz w:val="21"/>
          <w:szCs w:val="21"/>
          <w:bdr w:val="none" w:color="auto" w:sz="0" w:space="0"/>
        </w:rPr>
        <w:t>“</w:t>
      </w:r>
      <w:r>
        <w:rPr>
          <w:rFonts w:hint="default" w:ascii="仿宋_GB2312" w:eastAsia="仿宋_GB2312" w:cs="仿宋_GB2312"/>
          <w:i w:val="0"/>
          <w:iCs w:val="0"/>
          <w:color w:val="333333"/>
          <w:sz w:val="21"/>
          <w:szCs w:val="21"/>
          <w:bdr w:val="none" w:color="auto" w:sz="0" w:space="0"/>
        </w:rPr>
        <w:t>考生考试诚信档案库</w:t>
      </w:r>
      <w:r>
        <w:rPr>
          <w:rFonts w:hint="default" w:ascii="Calibri" w:hAnsi="Calibri" w:eastAsia="仿宋_GB2312" w:cs="Calibri"/>
          <w:i w:val="0"/>
          <w:iCs w:val="0"/>
          <w:color w:val="333333"/>
          <w:sz w:val="21"/>
          <w:szCs w:val="21"/>
          <w:bdr w:val="none" w:color="auto" w:sz="0" w:space="0"/>
        </w:rPr>
        <w:t>”</w:t>
      </w:r>
      <w:r>
        <w:rPr>
          <w:rFonts w:hint="default" w:ascii="仿宋_GB2312" w:eastAsia="仿宋_GB2312" w:cs="仿宋_GB2312"/>
          <w:i w:val="0"/>
          <w:iCs w:val="0"/>
          <w:color w:val="333333"/>
          <w:sz w:val="21"/>
          <w:szCs w:val="21"/>
          <w:bdr w:val="none" w:color="auto" w:sz="0" w:space="0"/>
        </w:rPr>
        <w:t>等措施，加强对考生身份的审查核验，严防复试</w:t>
      </w:r>
      <w:r>
        <w:rPr>
          <w:rFonts w:hint="default" w:ascii="Calibri" w:hAnsi="Calibri" w:eastAsia="仿宋_GB2312" w:cs="Calibri"/>
          <w:i w:val="0"/>
          <w:iCs w:val="0"/>
          <w:color w:val="333333"/>
          <w:sz w:val="21"/>
          <w:szCs w:val="21"/>
          <w:bdr w:val="none" w:color="auto" w:sz="0" w:space="0"/>
        </w:rPr>
        <w:t>“</w:t>
      </w:r>
      <w:r>
        <w:rPr>
          <w:rFonts w:hint="default" w:ascii="仿宋_GB2312" w:eastAsia="仿宋_GB2312" w:cs="仿宋_GB2312"/>
          <w:i w:val="0"/>
          <w:iCs w:val="0"/>
          <w:color w:val="333333"/>
          <w:sz w:val="21"/>
          <w:szCs w:val="21"/>
          <w:bdr w:val="none" w:color="auto" w:sz="0" w:space="0"/>
        </w:rPr>
        <w:t>替考</w:t>
      </w:r>
      <w:r>
        <w:rPr>
          <w:rFonts w:hint="default" w:ascii="Calibri" w:hAnsi="Calibri" w:eastAsia="仿宋_GB2312" w:cs="Calibri"/>
          <w:i w:val="0"/>
          <w:iCs w:val="0"/>
          <w:color w:val="333333"/>
          <w:sz w:val="21"/>
          <w:szCs w:val="21"/>
          <w:bdr w:val="none" w:color="auto" w:sz="0" w:space="0"/>
        </w:rPr>
        <w:t>”</w:t>
      </w:r>
      <w:r>
        <w:rPr>
          <w:rFonts w:hint="default" w:ascii="仿宋_GB2312" w:eastAsia="仿宋_GB2312" w:cs="仿宋_GB2312"/>
          <w:i w:val="0"/>
          <w:iCs w:val="0"/>
          <w:color w:val="333333"/>
          <w:sz w:val="21"/>
          <w:szCs w:val="21"/>
          <w:bdr w:val="none" w:color="auto" w:sz="0" w:space="0"/>
        </w:rPr>
        <w:t>。复试过程中建立</w:t>
      </w:r>
      <w:r>
        <w:rPr>
          <w:rFonts w:hint="default" w:ascii="Calibri" w:hAnsi="Calibri" w:eastAsia="仿宋_GB2312" w:cs="Calibri"/>
          <w:i w:val="0"/>
          <w:iCs w:val="0"/>
          <w:color w:val="333333"/>
          <w:sz w:val="21"/>
          <w:szCs w:val="21"/>
          <w:bdr w:val="none" w:color="auto" w:sz="0" w:space="0"/>
        </w:rPr>
        <w:t>“</w:t>
      </w:r>
      <w:r>
        <w:rPr>
          <w:rFonts w:hint="default" w:ascii="仿宋_GB2312" w:eastAsia="仿宋_GB2312" w:cs="仿宋_GB2312"/>
          <w:i w:val="0"/>
          <w:iCs w:val="0"/>
          <w:color w:val="333333"/>
          <w:sz w:val="21"/>
          <w:szCs w:val="21"/>
          <w:bdr w:val="none" w:color="auto" w:sz="0" w:space="0"/>
        </w:rPr>
        <w:t>随机确定考生复试次序</w:t>
      </w:r>
      <w:r>
        <w:rPr>
          <w:rFonts w:hint="default" w:ascii="Calibri" w:hAnsi="Calibri" w:eastAsia="仿宋_GB2312" w:cs="Calibri"/>
          <w:i w:val="0"/>
          <w:iCs w:val="0"/>
          <w:color w:val="333333"/>
          <w:sz w:val="21"/>
          <w:szCs w:val="21"/>
          <w:bdr w:val="none" w:color="auto" w:sz="0" w:space="0"/>
        </w:rPr>
        <w:t>”“</w:t>
      </w:r>
      <w:r>
        <w:rPr>
          <w:rFonts w:hint="default" w:ascii="仿宋_GB2312" w:eastAsia="仿宋_GB2312" w:cs="仿宋_GB2312"/>
          <w:i w:val="0"/>
          <w:iCs w:val="0"/>
          <w:color w:val="333333"/>
          <w:sz w:val="21"/>
          <w:szCs w:val="21"/>
          <w:bdr w:val="none" w:color="auto" w:sz="0" w:space="0"/>
        </w:rPr>
        <w:t>随机确定复试小组组成人员</w:t>
      </w:r>
      <w:r>
        <w:rPr>
          <w:rFonts w:hint="default" w:ascii="Calibri" w:hAnsi="Calibri" w:eastAsia="仿宋_GB2312" w:cs="Calibri"/>
          <w:i w:val="0"/>
          <w:iCs w:val="0"/>
          <w:color w:val="333333"/>
          <w:sz w:val="21"/>
          <w:szCs w:val="21"/>
          <w:bdr w:val="none" w:color="auto" w:sz="0" w:space="0"/>
        </w:rPr>
        <w:t>”“</w:t>
      </w:r>
      <w:r>
        <w:rPr>
          <w:rFonts w:hint="default" w:ascii="仿宋_GB2312" w:eastAsia="仿宋_GB2312" w:cs="仿宋_GB2312"/>
          <w:i w:val="0"/>
          <w:iCs w:val="0"/>
          <w:color w:val="333333"/>
          <w:sz w:val="21"/>
          <w:szCs w:val="21"/>
          <w:bdr w:val="none" w:color="auto" w:sz="0" w:space="0"/>
        </w:rPr>
        <w:t>随机抽取复试试题</w:t>
      </w:r>
      <w:r>
        <w:rPr>
          <w:rFonts w:hint="default" w:ascii="Calibri" w:hAnsi="Calibri" w:eastAsia="仿宋_GB2312" w:cs="Calibri"/>
          <w:i w:val="0"/>
          <w:iCs w:val="0"/>
          <w:color w:val="333333"/>
          <w:sz w:val="21"/>
          <w:szCs w:val="21"/>
          <w:bdr w:val="none" w:color="auto" w:sz="0" w:space="0"/>
        </w:rPr>
        <w:t>”</w:t>
      </w:r>
      <w:r>
        <w:rPr>
          <w:rFonts w:hint="default" w:ascii="仿宋_GB2312" w:eastAsia="仿宋_GB2312" w:cs="仿宋_GB2312"/>
          <w:i w:val="0"/>
          <w:iCs w:val="0"/>
          <w:color w:val="333333"/>
          <w:sz w:val="21"/>
          <w:szCs w:val="21"/>
          <w:bdr w:val="none" w:color="auto" w:sz="0" w:space="0"/>
        </w:rPr>
        <w:t>的</w:t>
      </w:r>
      <w:r>
        <w:rPr>
          <w:rFonts w:hint="default" w:ascii="Calibri" w:hAnsi="Calibri" w:eastAsia="仿宋_GB2312" w:cs="Calibri"/>
          <w:i w:val="0"/>
          <w:iCs w:val="0"/>
          <w:color w:val="333333"/>
          <w:sz w:val="21"/>
          <w:szCs w:val="21"/>
          <w:bdr w:val="none" w:color="auto" w:sz="0" w:space="0"/>
        </w:rPr>
        <w:t>“</w:t>
      </w:r>
      <w:r>
        <w:rPr>
          <w:rFonts w:hint="default" w:ascii="仿宋_GB2312" w:eastAsia="仿宋_GB2312" w:cs="仿宋_GB2312"/>
          <w:i w:val="0"/>
          <w:iCs w:val="0"/>
          <w:color w:val="333333"/>
          <w:sz w:val="21"/>
          <w:szCs w:val="21"/>
          <w:bdr w:val="none" w:color="auto" w:sz="0" w:space="0"/>
        </w:rPr>
        <w:t>三随机</w:t>
      </w:r>
      <w:r>
        <w:rPr>
          <w:rFonts w:hint="default" w:ascii="Calibri" w:hAnsi="Calibri" w:eastAsia="仿宋_GB2312" w:cs="Calibri"/>
          <w:i w:val="0"/>
          <w:iCs w:val="0"/>
          <w:color w:val="333333"/>
          <w:sz w:val="21"/>
          <w:szCs w:val="21"/>
          <w:bdr w:val="none" w:color="auto" w:sz="0" w:space="0"/>
        </w:rPr>
        <w:t>”</w:t>
      </w:r>
      <w:r>
        <w:rPr>
          <w:rFonts w:hint="default" w:ascii="仿宋_GB2312" w:eastAsia="仿宋_GB2312" w:cs="仿宋_GB2312"/>
          <w:i w:val="0"/>
          <w:iCs w:val="0"/>
          <w:color w:val="333333"/>
          <w:sz w:val="21"/>
          <w:szCs w:val="21"/>
          <w:bdr w:val="none" w:color="auto" w:sz="0" w:space="0"/>
        </w:rPr>
        <w:t>工作机制。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380"/>
        <w:rPr>
          <w:i w:val="0"/>
          <w:iCs w:val="0"/>
          <w:color w:val="333333"/>
        </w:rPr>
      </w:pPr>
      <w:r>
        <w:rPr>
          <w:rFonts w:hint="default" w:ascii="仿宋_GB2312" w:eastAsia="仿宋_GB2312" w:cs="仿宋_GB2312"/>
          <w:i w:val="0"/>
          <w:iCs w:val="0"/>
          <w:color w:val="333333"/>
          <w:sz w:val="21"/>
          <w:szCs w:val="21"/>
          <w:bdr w:val="none" w:color="auto" w:sz="0" w:space="0"/>
        </w:rPr>
        <w:t>每位考生面试时间一般不少于20分钟，对每位考生的作答情况进行现场记录，面试结束后填写《安徽医科大学硕士研究生复试情况表》。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430"/>
        <w:rPr>
          <w:i w:val="0"/>
          <w:iCs w:val="0"/>
          <w:color w:val="333333"/>
        </w:rPr>
      </w:pPr>
      <w:r>
        <w:rPr>
          <w:rFonts w:hint="default" w:ascii="仿宋_GB2312" w:eastAsia="仿宋_GB2312" w:cs="仿宋_GB2312"/>
          <w:i w:val="0"/>
          <w:iCs w:val="0"/>
          <w:color w:val="333333"/>
          <w:sz w:val="21"/>
          <w:szCs w:val="21"/>
          <w:bdr w:val="none" w:color="auto" w:sz="0" w:space="0"/>
        </w:rPr>
        <w:t>四、调剂工作要求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430"/>
        <w:rPr>
          <w:i w:val="0"/>
          <w:iCs w:val="0"/>
          <w:color w:val="333333"/>
        </w:rPr>
      </w:pPr>
      <w:r>
        <w:rPr>
          <w:rFonts w:hint="default" w:ascii="仿宋_GB2312" w:eastAsia="仿宋_GB2312" w:cs="仿宋_GB2312"/>
          <w:i w:val="0"/>
          <w:iCs w:val="0"/>
          <w:color w:val="333333"/>
          <w:sz w:val="21"/>
          <w:szCs w:val="21"/>
          <w:bdr w:val="none" w:color="auto" w:sz="0" w:space="0"/>
        </w:rPr>
        <w:t>1.我院接收所有调剂考生（包括校内和校外调剂考生），调剂均通过教育部指定的</w:t>
      </w:r>
      <w:r>
        <w:rPr>
          <w:rFonts w:hint="default" w:ascii="Calibri" w:hAnsi="Calibri" w:eastAsia="仿宋_GB2312" w:cs="Calibri"/>
          <w:i w:val="0"/>
          <w:iCs w:val="0"/>
          <w:color w:val="333333"/>
          <w:sz w:val="21"/>
          <w:szCs w:val="21"/>
          <w:bdr w:val="none" w:color="auto" w:sz="0" w:space="0"/>
        </w:rPr>
        <w:t>“</w:t>
      </w:r>
      <w:r>
        <w:rPr>
          <w:rFonts w:hint="default" w:ascii="仿宋_GB2312" w:eastAsia="仿宋_GB2312" w:cs="仿宋_GB2312"/>
          <w:i w:val="0"/>
          <w:iCs w:val="0"/>
          <w:color w:val="333333"/>
          <w:sz w:val="21"/>
          <w:szCs w:val="21"/>
          <w:bdr w:val="none" w:color="auto" w:sz="0" w:space="0"/>
        </w:rPr>
        <w:t>全国硕士生招生调剂服务系统</w:t>
      </w:r>
      <w:r>
        <w:rPr>
          <w:rFonts w:hint="default" w:ascii="Calibri" w:hAnsi="Calibri" w:eastAsia="仿宋_GB2312" w:cs="Calibri"/>
          <w:i w:val="0"/>
          <w:iCs w:val="0"/>
          <w:color w:val="333333"/>
          <w:sz w:val="21"/>
          <w:szCs w:val="21"/>
          <w:bdr w:val="none" w:color="auto" w:sz="0" w:space="0"/>
        </w:rPr>
        <w:t>”</w:t>
      </w:r>
      <w:r>
        <w:rPr>
          <w:rFonts w:hint="default" w:ascii="仿宋_GB2312" w:eastAsia="仿宋_GB2312" w:cs="仿宋_GB2312"/>
          <w:i w:val="0"/>
          <w:iCs w:val="0"/>
          <w:color w:val="333333"/>
          <w:sz w:val="21"/>
          <w:szCs w:val="21"/>
          <w:bdr w:val="none" w:color="auto" w:sz="0" w:space="0"/>
        </w:rPr>
        <w:t>（以下简称教育部调剂系统，</w:t>
      </w:r>
      <w:r>
        <w:rPr>
          <w:rFonts w:hint="default" w:ascii="Calibri" w:hAnsi="Calibri" w:eastAsia="仿宋_GB2312" w:cs="Calibri"/>
          <w:i w:val="0"/>
          <w:iCs w:val="0"/>
          <w:color w:val="333333"/>
          <w:sz w:val="21"/>
          <w:szCs w:val="21"/>
          <w:bdr w:val="none" w:color="auto" w:sz="0" w:space="0"/>
        </w:rPr>
        <w:t> </w:t>
      </w:r>
      <w:r>
        <w:rPr>
          <w:i w:val="0"/>
          <w:iCs w:val="0"/>
          <w:color w:val="333333"/>
          <w:u w:val="none"/>
          <w:bdr w:val="none" w:color="auto" w:sz="0" w:space="0"/>
        </w:rPr>
        <w:fldChar w:fldCharType="begin"/>
      </w:r>
      <w:r>
        <w:rPr>
          <w:i w:val="0"/>
          <w:iCs w:val="0"/>
          <w:color w:val="333333"/>
          <w:u w:val="none"/>
          <w:bdr w:val="none" w:color="auto" w:sz="0" w:space="0"/>
        </w:rPr>
        <w:instrText xml:space="preserve"> HYPERLINK "https://yz.chsi.com.xn--cn),-o84fo9t22cx08a7na178b0rb82gh33d1cegn3aj3g77et60cbkohraq64dqmam2c./" </w:instrText>
      </w:r>
      <w:r>
        <w:rPr>
          <w:i w:val="0"/>
          <w:iCs w:val="0"/>
          <w:color w:val="333333"/>
          <w:u w:val="none"/>
          <w:bdr w:val="none" w:color="auto" w:sz="0" w:space="0"/>
        </w:rPr>
        <w:fldChar w:fldCharType="separate"/>
      </w:r>
      <w:r>
        <w:rPr>
          <w:rStyle w:val="6"/>
          <w:rFonts w:hint="default" w:ascii="仿宋_GB2312" w:eastAsia="仿宋_GB2312" w:cs="仿宋_GB2312"/>
          <w:i w:val="0"/>
          <w:iCs w:val="0"/>
          <w:color w:val="3E3E3E"/>
          <w:sz w:val="21"/>
          <w:szCs w:val="21"/>
          <w:u w:val="none"/>
          <w:bdr w:val="none" w:color="auto" w:sz="0" w:space="0"/>
        </w:rPr>
        <w:t>https://yz、chsi、com、cn）进行，未通过该系统调剂录取的考生一律无效。</w:t>
      </w:r>
      <w:r>
        <w:rPr>
          <w:i w:val="0"/>
          <w:iCs w:val="0"/>
          <w:color w:val="333333"/>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430"/>
        <w:rPr>
          <w:i w:val="0"/>
          <w:iCs w:val="0"/>
          <w:color w:val="333333"/>
        </w:rPr>
      </w:pPr>
      <w:r>
        <w:rPr>
          <w:rFonts w:hint="default" w:ascii="仿宋_GB2312" w:eastAsia="仿宋_GB2312" w:cs="仿宋_GB2312"/>
          <w:i w:val="0"/>
          <w:iCs w:val="0"/>
          <w:color w:val="333333"/>
          <w:sz w:val="21"/>
          <w:szCs w:val="21"/>
          <w:bdr w:val="none" w:color="auto" w:sz="0" w:space="0"/>
        </w:rPr>
        <w:t>2.申请调剂考生只能填写我院一个专业或研究方向（即只能填写一个我院志愿，有研究方向的必须选择研究方向），多报或不选研究方向视为无效报名。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430"/>
        <w:rPr>
          <w:i w:val="0"/>
          <w:iCs w:val="0"/>
          <w:color w:val="333333"/>
        </w:rPr>
      </w:pPr>
      <w:r>
        <w:rPr>
          <w:rFonts w:hint="default" w:ascii="仿宋_GB2312" w:eastAsia="仿宋_GB2312" w:cs="仿宋_GB2312"/>
          <w:i w:val="0"/>
          <w:iCs w:val="0"/>
          <w:color w:val="333333"/>
          <w:sz w:val="21"/>
          <w:szCs w:val="21"/>
          <w:bdr w:val="none" w:color="auto" w:sz="0" w:space="0"/>
        </w:rPr>
        <w:t>3.对申请我院的调剂考生，原则上按调剂该专业考生（剔除不合格考生,包括填报两条及以上志愿考生，不符合专业报考要求的考生等）的初试成绩总分从高到低排序，同时综合考虑，按照调剂比例确定调剂成功考生名单。如遇考生不按要求确认或调剂成功后放弃，将视情况补充调剂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430"/>
        <w:rPr>
          <w:i w:val="0"/>
          <w:iCs w:val="0"/>
          <w:color w:val="333333"/>
        </w:rPr>
      </w:pPr>
      <w:r>
        <w:rPr>
          <w:rFonts w:hint="default" w:ascii="仿宋_GB2312" w:eastAsia="仿宋_GB2312" w:cs="仿宋_GB2312"/>
          <w:i w:val="0"/>
          <w:iCs w:val="0"/>
          <w:color w:val="333333"/>
          <w:sz w:val="21"/>
          <w:szCs w:val="21"/>
          <w:bdr w:val="none" w:color="auto" w:sz="0" w:space="0"/>
        </w:rPr>
        <w:t>4.我院调剂复试采取差额形式，有缺额的专业在调剂生源充足的情况下，差额比例一般为1:1.5左右（有相同分数的视情况予以递补），所有满足本学科（专业）复试基本要求的考生均可参加调剂复试。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430"/>
        <w:rPr>
          <w:i w:val="0"/>
          <w:iCs w:val="0"/>
          <w:color w:val="333333"/>
        </w:rPr>
      </w:pPr>
      <w:r>
        <w:rPr>
          <w:rFonts w:hint="default" w:ascii="仿宋_GB2312" w:eastAsia="仿宋_GB2312" w:cs="仿宋_GB2312"/>
          <w:i w:val="0"/>
          <w:iCs w:val="0"/>
          <w:color w:val="333333"/>
          <w:sz w:val="21"/>
          <w:szCs w:val="21"/>
          <w:bdr w:val="none" w:color="auto" w:sz="0" w:space="0"/>
        </w:rPr>
        <w:t>5.考生一旦</w:t>
      </w:r>
      <w:r>
        <w:rPr>
          <w:rFonts w:hint="default" w:ascii="Calibri" w:hAnsi="Calibri" w:eastAsia="仿宋_GB2312" w:cs="Calibri"/>
          <w:i w:val="0"/>
          <w:iCs w:val="0"/>
          <w:color w:val="333333"/>
          <w:sz w:val="21"/>
          <w:szCs w:val="21"/>
          <w:bdr w:val="none" w:color="auto" w:sz="0" w:space="0"/>
        </w:rPr>
        <w:t>“</w:t>
      </w:r>
      <w:r>
        <w:rPr>
          <w:rFonts w:hint="default" w:ascii="仿宋_GB2312" w:eastAsia="仿宋_GB2312" w:cs="仿宋_GB2312"/>
          <w:i w:val="0"/>
          <w:iCs w:val="0"/>
          <w:color w:val="333333"/>
          <w:sz w:val="21"/>
          <w:szCs w:val="21"/>
          <w:bdr w:val="none" w:color="auto" w:sz="0" w:space="0"/>
        </w:rPr>
        <w:t>确认拟录取</w:t>
      </w:r>
      <w:r>
        <w:rPr>
          <w:rFonts w:hint="default" w:ascii="Calibri" w:hAnsi="Calibri" w:eastAsia="仿宋_GB2312" w:cs="Calibri"/>
          <w:i w:val="0"/>
          <w:iCs w:val="0"/>
          <w:color w:val="333333"/>
          <w:sz w:val="21"/>
          <w:szCs w:val="21"/>
          <w:bdr w:val="none" w:color="auto" w:sz="0" w:space="0"/>
        </w:rPr>
        <w:t>”</w:t>
      </w:r>
      <w:r>
        <w:rPr>
          <w:rFonts w:hint="default" w:ascii="仿宋_GB2312" w:eastAsia="仿宋_GB2312" w:cs="仿宋_GB2312"/>
          <w:i w:val="0"/>
          <w:iCs w:val="0"/>
          <w:color w:val="333333"/>
          <w:sz w:val="21"/>
          <w:szCs w:val="21"/>
          <w:bdr w:val="none" w:color="auto" w:sz="0" w:space="0"/>
        </w:rPr>
        <w:t>则视为同意被我院拟录取，应对本人行为负责，诚信应考，不得以任何理由提出取消拟录取资格。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400" w:lineRule="atLeast"/>
        <w:ind w:left="0" w:right="0" w:firstLine="430"/>
        <w:rPr>
          <w:i w:val="0"/>
          <w:iCs w:val="0"/>
          <w:color w:val="333333"/>
        </w:rPr>
      </w:pPr>
      <w:r>
        <w:rPr>
          <w:rFonts w:ascii="方正仿宋_GB2312" w:hAnsi="方正仿宋_GB2312" w:eastAsia="方正仿宋_GB2312" w:cs="方正仿宋_GB2312"/>
          <w:i w:val="0"/>
          <w:iCs w:val="0"/>
          <w:color w:val="333333"/>
          <w:sz w:val="20"/>
          <w:szCs w:val="20"/>
          <w:bdr w:val="none" w:color="auto" w:sz="0" w:space="0"/>
        </w:rPr>
        <w:t>6</w:t>
      </w:r>
      <w:r>
        <w:rPr>
          <w:rFonts w:hint="default" w:ascii="方正仿宋_GB2312" w:hAnsi="方正仿宋_GB2312" w:eastAsia="方正仿宋_GB2312" w:cs="方正仿宋_GB2312"/>
          <w:i w:val="0"/>
          <w:iCs w:val="0"/>
          <w:color w:val="333333"/>
          <w:sz w:val="20"/>
          <w:szCs w:val="20"/>
          <w:bdr w:val="none" w:color="auto" w:sz="0" w:space="0"/>
        </w:rPr>
        <w:t>.</w:t>
      </w:r>
      <w:r>
        <w:rPr>
          <w:rFonts w:hint="default" w:ascii="仿宋_GB2312" w:eastAsia="仿宋_GB2312" w:cs="仿宋_GB2312"/>
          <w:i w:val="0"/>
          <w:iCs w:val="0"/>
          <w:color w:val="333333"/>
          <w:sz w:val="21"/>
          <w:szCs w:val="21"/>
          <w:bdr w:val="none" w:color="auto" w:sz="0" w:space="0"/>
        </w:rPr>
        <w:t>调剂工作中关于研究生调剂复试体检、思想政治素质和品德考核、录取原则、信息公开、招生纪律等有关要求具体见《安徽医科大学第三附属医院2023年安徽医科大学硕士研究生招生复试、录取工作实施办法》中有关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430"/>
        <w:rPr>
          <w:i w:val="0"/>
          <w:iCs w:val="0"/>
          <w:color w:val="333333"/>
        </w:rPr>
      </w:pPr>
      <w:r>
        <w:rPr>
          <w:rFonts w:hint="default" w:ascii="仿宋_GB2312" w:eastAsia="仿宋_GB2312" w:cs="仿宋_GB2312"/>
          <w:i w:val="0"/>
          <w:iCs w:val="0"/>
          <w:color w:val="333333"/>
          <w:sz w:val="21"/>
          <w:szCs w:val="21"/>
          <w:bdr w:val="none" w:color="auto" w:sz="0" w:space="0"/>
        </w:rPr>
        <w:t>如上级主管部门出台新的政策，以新政策为准。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3950"/>
        <w:rPr>
          <w:i w:val="0"/>
          <w:iCs w:val="0"/>
          <w:color w:val="333333"/>
        </w:rPr>
      </w:pPr>
      <w:r>
        <w:rPr>
          <w:rFonts w:hint="default" w:ascii="仿宋_GB2312" w:eastAsia="仿宋_GB2312" w:cs="仿宋_GB2312"/>
          <w:i w:val="0"/>
          <w:iCs w:val="0"/>
          <w:color w:val="333333"/>
          <w:sz w:val="21"/>
          <w:szCs w:val="21"/>
          <w:bdr w:val="none" w:color="auto" w:sz="0" w:space="0"/>
        </w:rPr>
        <w:t> 安徽医科大学第三附属医院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i w:val="0"/>
          <w:iCs w:val="0"/>
          <w:color w:val="333333"/>
        </w:rPr>
      </w:pPr>
      <w:r>
        <w:rPr>
          <w:rFonts w:hint="default" w:ascii="仿宋_GB2312" w:eastAsia="仿宋_GB2312" w:cs="仿宋_GB2312"/>
          <w:i w:val="0"/>
          <w:iCs w:val="0"/>
          <w:color w:val="333333"/>
          <w:sz w:val="21"/>
          <w:szCs w:val="21"/>
          <w:bdr w:val="none" w:color="auto" w:sz="0" w:space="0"/>
        </w:rPr>
        <w:t>                                                                            2023年4月7日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3AD6C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2023-05-25T09:57:44Z</dcterms:created>
  <dc:creator>Administrator</dc:creator>
  <cp:lastModifiedBy>王英</cp:lastModifiedBy>
  <dcterms:modified xsi:type="dcterms:W3CDTF">2023-05-25T09:57:52Z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02E19E7A061F4E81907969290981DC4F</vt:lpwstr>
  </property>
</Properties>
</file>