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50" w:afterAutospacing="0" w:line="400" w:lineRule="atLeast"/>
        <w:ind w:left="0" w:right="0"/>
        <w:jc w:val="center"/>
        <w:rPr>
          <w:color w:val="010101"/>
          <w:sz w:val="26"/>
          <w:szCs w:val="26"/>
        </w:rPr>
      </w:pPr>
      <w:bookmarkStart w:id="0" w:name="_GoBack"/>
      <w:r>
        <w:rPr>
          <w:i w:val="0"/>
          <w:iCs w:val="0"/>
          <w:caps w:val="0"/>
          <w:color w:val="010101"/>
          <w:spacing w:val="0"/>
          <w:sz w:val="26"/>
          <w:szCs w:val="26"/>
          <w:bdr w:val="none" w:color="auto" w:sz="0" w:space="0"/>
        </w:rPr>
        <w:t>安徽医科大学附属六安医院2023年硕士研究生招生生源调剂方案   </w:t>
      </w:r>
    </w:p>
    <w:bookmarkEnd w:id="0"/>
    <w:p>
      <w:pPr>
        <w:keepNext w:val="0"/>
        <w:keepLines w:val="0"/>
        <w:widowControl/>
        <w:suppressLineNumbers w:val="0"/>
        <w:pBdr>
          <w:top w:val="none" w:color="auto" w:sz="0" w:space="0"/>
          <w:left w:val="none" w:color="auto" w:sz="0" w:space="0"/>
          <w:bottom w:val="single" w:color="E6E6E6" w:sz="4" w:space="0"/>
          <w:right w:val="none" w:color="auto" w:sz="0" w:space="0"/>
        </w:pBdr>
        <w:spacing w:before="0" w:beforeAutospacing="0" w:after="0" w:afterAutospacing="0"/>
        <w:ind w:left="0" w:right="0" w:firstLine="0"/>
        <w:jc w:val="center"/>
        <w:rPr>
          <w:rFonts w:ascii="微软雅黑" w:hAnsi="微软雅黑" w:eastAsia="微软雅黑" w:cs="微软雅黑"/>
          <w:i w:val="0"/>
          <w:iCs w:val="0"/>
          <w:caps w:val="0"/>
          <w:color w:val="808080"/>
          <w:spacing w:val="0"/>
          <w:sz w:val="14"/>
          <w:szCs w:val="14"/>
        </w:rPr>
      </w:pPr>
      <w:r>
        <w:rPr>
          <w:rFonts w:hint="eastAsia" w:ascii="微软雅黑" w:hAnsi="微软雅黑" w:eastAsia="微软雅黑" w:cs="微软雅黑"/>
          <w:i w:val="0"/>
          <w:iCs w:val="0"/>
          <w:caps w:val="0"/>
          <w:color w:val="808080"/>
          <w:spacing w:val="0"/>
          <w:kern w:val="0"/>
          <w:sz w:val="14"/>
          <w:szCs w:val="14"/>
          <w:bdr w:val="none" w:color="auto" w:sz="0" w:space="0"/>
          <w:lang w:val="en-US" w:eastAsia="zh-CN" w:bidi="ar"/>
        </w:rPr>
        <w:t>2023-04-05 16:31 浏览量： 1751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为进一步加强我院2023年硕士研究生招生生源调剂管理工作，根据《安徽医科大学2023年硕士研究生招生复试、录取工作实施办法  》《安徽医科大学2023年硕士研究生招生生源调剂方案》等文件及相关会议精神，制定本方案。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3"/>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一、调剂原则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生源调剂遵循公开透明、公平公正、考生自愿的原则。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3"/>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二、生源调剂基本条件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1、考生成绩（单科、总分）须达到学校规定的复试分数线要求（国家复试 A类线），</w:t>
      </w:r>
      <w:r>
        <w:rPr>
          <w:rFonts w:asciiTheme="minorHAnsi" w:hAnsiTheme="minorHAnsi" w:eastAsiaTheme="minorEastAsia" w:cstheme="minorBidi"/>
          <w:i w:val="0"/>
          <w:iCs w:val="0"/>
          <w:kern w:val="0"/>
          <w:sz w:val="24"/>
          <w:szCs w:val="24"/>
          <w:u w:val="single"/>
          <w:bdr w:val="none" w:color="auto" w:sz="0" w:space="0"/>
          <w:lang w:val="en-US" w:eastAsia="zh-CN" w:bidi="ar"/>
        </w:rPr>
        <w:t>临床医学专业学位各专业（专业代码1051开头）调剂考生分数线为总分310分，单科达国家复试 A类线。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2、符合学校招生报考指南及专业目录所规定的报考要求（</w:t>
      </w:r>
      <w:r>
        <w:rPr>
          <w:rFonts w:asciiTheme="minorHAnsi" w:hAnsiTheme="minorHAnsi" w:eastAsiaTheme="minorEastAsia" w:cstheme="minorBidi"/>
          <w:i w:val="0"/>
          <w:iCs w:val="0"/>
          <w:kern w:val="0"/>
          <w:sz w:val="24"/>
          <w:szCs w:val="24"/>
          <w:u w:val="single"/>
          <w:bdr w:val="none" w:color="auto" w:sz="0" w:space="0"/>
          <w:lang w:val="en-US" w:eastAsia="zh-CN" w:bidi="ar"/>
        </w:rPr>
        <w:t>如英语、学历、学制、学习形式要求等，具体见招生章程及专业目录，特别要注意备注栏目的要求</w:t>
      </w:r>
      <w:r>
        <w:rPr>
          <w:rFonts w:asciiTheme="minorHAnsi" w:hAnsiTheme="minorHAnsi" w:eastAsiaTheme="minorEastAsia" w:cstheme="minorBidi"/>
          <w:i w:val="0"/>
          <w:iCs w:val="0"/>
          <w:kern w:val="0"/>
          <w:sz w:val="24"/>
          <w:szCs w:val="24"/>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4、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5、未经网上公示的缺额，一律不调剂考生。所有专业均不接受同等学力考生调剂。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三、调剂工作要求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1.所有调剂考生（包括校内和校外调剂考生），调剂均通过教育部指定的“全国硕士生招生调剂服务系统”（以下简称教育部调剂系统， https://yz.chsi.com.cn）进行，未通过该系统调剂录取的考生一律无效。每次开放调剂系统持续时间不低于 12 个小时，考生一旦填报志愿确定后，志愿锁定30小时不能修改。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2. 申请调剂考生只能填写一个培养单位的一个专业或研究方向（即只能填写一个志愿，有研究方向的必须选择研究方向），多报或不选研究方向视为无效报名。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3. 对申请同一培养单位、同一专业内的调剂考生，原则上按调剂该专业考生（剔除不合格考生,包括填报两条及以上志愿考生，不符合专业报考要求的考生等）的初试成绩总分从高到低排序，同时综合考虑，按照调剂比例确定调剂成功考生名单。在调剂生源充足的情况下，调剂比例一般为1:2左右（如遇同专业有同分考生可视情况递补），如遇考生不按要求确认或调剂成功后放弃，将视情况补充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4.考生一旦“确认拟录取”则视为同意被学校拟录取，应对本人行为负责，诚信应考，不得以任何理由提出取消拟录取资格。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四、调剂工作流程</w:t>
      </w:r>
    </w:p>
    <w:tbl>
      <w:tblPr>
        <w:tblW w:w="8945" w:type="dxa"/>
        <w:jc w:val="center"/>
        <w:tblCellSpacing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195"/>
        <w:gridCol w:w="775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i w:val="0"/>
                <w:iCs w:val="0"/>
              </w:rPr>
            </w:pPr>
            <w:r>
              <w:rPr>
                <w:rFonts w:ascii="仿宋_GB2312" w:eastAsia="仿宋_GB2312" w:cs="仿宋_GB2312" w:hAnsiTheme="minorHAnsi"/>
                <w:b/>
                <w:bCs/>
                <w:i w:val="0"/>
                <w:iCs w:val="0"/>
                <w:kern w:val="0"/>
                <w:sz w:val="32"/>
                <w:szCs w:val="32"/>
                <w:bdr w:val="none" w:color="auto" w:sz="0" w:space="0"/>
                <w:lang w:val="en-US" w:eastAsia="zh-CN" w:bidi="ar"/>
              </w:rPr>
              <w:t>序号</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jc w:val="center"/>
              <w:rPr>
                <w:i w:val="0"/>
                <w:iCs w:val="0"/>
              </w:rPr>
            </w:pPr>
            <w:r>
              <w:rPr>
                <w:rFonts w:hint="default" w:ascii="仿宋_GB2312" w:eastAsia="仿宋_GB2312" w:cs="仿宋_GB2312" w:hAnsiTheme="minorHAnsi"/>
                <w:b/>
                <w:bCs/>
                <w:i w:val="0"/>
                <w:iCs w:val="0"/>
                <w:kern w:val="0"/>
                <w:sz w:val="32"/>
                <w:szCs w:val="32"/>
                <w:bdr w:val="none" w:color="auto" w:sz="0" w:space="0"/>
                <w:lang w:val="en-US" w:eastAsia="zh-CN" w:bidi="ar"/>
              </w:rPr>
              <w:t>内容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1</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i w:val="0"/>
                <w:iCs w:val="0"/>
              </w:rPr>
            </w:pPr>
            <w:r>
              <w:rPr>
                <w:rFonts w:hint="default" w:ascii="仿宋_GB2312" w:eastAsia="仿宋_GB2312" w:cs="仿宋_GB2312" w:hAnsiTheme="minorHAnsi"/>
                <w:i w:val="0"/>
                <w:iCs w:val="0"/>
                <w:color w:val="111111"/>
                <w:kern w:val="0"/>
                <w:sz w:val="32"/>
                <w:szCs w:val="32"/>
                <w:bdr w:val="none" w:color="auto" w:sz="0" w:space="0"/>
                <w:shd w:val="clear" w:fill="FFFFFF"/>
                <w:lang w:val="en-US" w:eastAsia="zh-CN" w:bidi="ar"/>
              </w:rPr>
              <w:t>研招网公布各专业缺额，考生线上填写志愿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2</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下载考生最终志愿，对申请调剂志愿考生（剔除无效报名）进行审查和筛选，给调剂成功考生发复试通知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3</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调剂考生自行登陆全国硕士生招生调剂服务系统填写确认“同意参加复试”，不按要求确认视为放弃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4</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组织调剂考生复试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5</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通过调剂系统给拟录取考生发放拟录取通知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6</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i w:val="0"/>
                <w:iCs w:val="0"/>
              </w:rPr>
            </w:pPr>
            <w:r>
              <w:rPr>
                <w:rFonts w:hint="default" w:ascii="仿宋_GB2312" w:eastAsia="仿宋_GB2312" w:cs="仿宋_GB2312" w:hAnsiTheme="minorHAnsi"/>
                <w:i w:val="0"/>
                <w:iCs w:val="0"/>
                <w:kern w:val="0"/>
                <w:sz w:val="32"/>
                <w:szCs w:val="32"/>
                <w:bdr w:val="none" w:color="auto" w:sz="0" w:space="0"/>
                <w:lang w:val="en-US" w:eastAsia="zh-CN" w:bidi="ar"/>
              </w:rPr>
              <w:t>拟录取考生自行登陆全国硕士生招生调剂服务系统“确认拟录取”，不按要求确认视为放弃</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70" w:right="0"/>
        <w:jc w:val="left"/>
        <w:rPr>
          <w:i w:val="0"/>
          <w:iCs w:val="0"/>
        </w:rPr>
      </w:pPr>
      <w:r>
        <w:rPr>
          <w:rStyle w:val="5"/>
          <w:rFonts w:asciiTheme="minorHAnsi" w:hAnsiTheme="minorHAnsi" w:eastAsiaTheme="minorEastAsia" w:cstheme="minorBidi"/>
          <w:i w:val="0"/>
          <w:iCs w:val="0"/>
          <w:kern w:val="0"/>
          <w:sz w:val="24"/>
          <w:szCs w:val="24"/>
          <w:bdr w:val="none" w:color="auto" w:sz="0" w:space="0"/>
          <w:lang w:val="en-US" w:eastAsia="zh-CN" w:bidi="ar"/>
        </w:rPr>
        <w:t>五、</w:t>
      </w:r>
      <w:r>
        <w:rPr>
          <w:rFonts w:asciiTheme="minorHAnsi" w:hAnsiTheme="minorHAnsi" w:eastAsiaTheme="minorEastAsia" w:cstheme="minorBidi"/>
          <w:b/>
          <w:bCs/>
          <w:i w:val="0"/>
          <w:iCs w:val="0"/>
          <w:kern w:val="0"/>
          <w:sz w:val="24"/>
          <w:szCs w:val="24"/>
          <w:bdr w:val="none" w:color="auto" w:sz="0" w:space="0"/>
          <w:lang w:val="en-US" w:eastAsia="zh-CN" w:bidi="ar"/>
        </w:rPr>
        <w:t>一轮调剂考生复试形式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我院一轮调剂考生均采用现场复试形式，复试地点安排在安徽医科大学附属六安医院院本部（安徽省六安市金安区皖西路21号），具体地点另行通知。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270" w:right="0"/>
        <w:jc w:val="left"/>
        <w:rPr>
          <w:i w:val="0"/>
          <w:iCs w:val="0"/>
        </w:rPr>
      </w:pPr>
      <w:r>
        <w:rPr>
          <w:rStyle w:val="5"/>
          <w:rFonts w:asciiTheme="minorHAnsi" w:hAnsiTheme="minorHAnsi" w:eastAsiaTheme="minorEastAsia" w:cstheme="minorBidi"/>
          <w:i w:val="0"/>
          <w:iCs w:val="0"/>
          <w:kern w:val="0"/>
          <w:sz w:val="24"/>
          <w:szCs w:val="24"/>
          <w:bdr w:val="none" w:color="auto" w:sz="0" w:space="0"/>
          <w:lang w:val="en-US" w:eastAsia="zh-CN" w:bidi="ar"/>
        </w:rPr>
        <w:t>六、</w:t>
      </w:r>
      <w:r>
        <w:rPr>
          <w:rFonts w:asciiTheme="minorHAnsi" w:hAnsiTheme="minorHAnsi" w:eastAsiaTheme="minorEastAsia" w:cstheme="minorBidi"/>
          <w:b/>
          <w:bCs/>
          <w:i w:val="0"/>
          <w:iCs w:val="0"/>
          <w:kern w:val="0"/>
          <w:sz w:val="24"/>
          <w:szCs w:val="24"/>
          <w:bdr w:val="none" w:color="auto" w:sz="0" w:space="0"/>
          <w:lang w:val="en-US" w:eastAsia="zh-CN" w:bidi="ar"/>
        </w:rPr>
        <w:t>一轮调剂考生复试工作安排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1.联系调剂成功的考生，建立考生微信群。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2.每个考生须提前准备好如下资格审核材料原件和复印件复试报到时提交：初试准考证、有效居民身份证（原件、复印件各一份）、本科阶段成绩单原件或复印件（盖章版）、国家承认学历的应届本科毕业生提供《教育部学籍在线验证报告》（须在有效期内）、具有国家承认的大学本科毕业学历的人员提供学历证书原件和《教育部学历证书电子注册备案表》/《中国高等教育学历认证报告》、诚信复试承诺书（手写签字）、政审表（签字盖章），证件原件当场查验后返还。考生联络员需将考生提交的材料与《报名信息简表》比对进行严格审查核验，同时进行人脸识别。并将每个考生资格审核材料装订成册标上复试序号供复试小组专家核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3.考生报到后现场抽签确定考试顺序。建立“随机确定考生复试次序”“随机抽取复试试题”的工作机制。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Style w:val="5"/>
          <w:rFonts w:asciiTheme="minorHAnsi" w:hAnsiTheme="minorHAnsi" w:eastAsiaTheme="minorEastAsia" w:cstheme="minorBidi"/>
          <w:i w:val="0"/>
          <w:iCs w:val="0"/>
          <w:kern w:val="0"/>
          <w:sz w:val="24"/>
          <w:szCs w:val="24"/>
          <w:bdr w:val="none" w:color="auto" w:sz="0" w:space="0"/>
          <w:lang w:val="en-US" w:eastAsia="zh-CN" w:bidi="ar"/>
        </w:rPr>
        <w:t>七、</w:t>
      </w:r>
      <w:r>
        <w:rPr>
          <w:rFonts w:asciiTheme="minorHAnsi" w:hAnsiTheme="minorHAnsi" w:eastAsiaTheme="minorEastAsia" w:cstheme="minorBidi"/>
          <w:b/>
          <w:bCs/>
          <w:i w:val="0"/>
          <w:iCs w:val="0"/>
          <w:kern w:val="0"/>
          <w:sz w:val="24"/>
          <w:szCs w:val="24"/>
          <w:bdr w:val="none" w:color="auto" w:sz="0" w:space="0"/>
          <w:lang w:val="en-US" w:eastAsia="zh-CN" w:bidi="ar"/>
        </w:rPr>
        <w:t>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复试由专业素养考核、专业英语考核和综合能力考核三部分组成。考生口述作答，每位考生面试时间一般不少于20分钟，对每位考生的作答情况进行现场记录。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3"/>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1.专业素养考核（满分50分）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包括专业知识、基本技能等专业相关素养的考核，采取专家问答、综合案例分析等形式开展。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3"/>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2.专业英语考核（满分20分）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包括专业英语、听说能力等英语应用能力的考核。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3"/>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3.综合能力考核（满分30分）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通过资料查验和面试形式考核，包括对考生大学期间的成绩、毕业论文、科研成果、获奖、专家推荐信等情况；考生既往学业、一贯表现、科研能力、综合素质和思想品德等情况；考生专业发展潜力、创新创业精神；专业外的社会实践表现；事业心、责任感、纪律性、协作性和心理健康状况；人文素养、语言表达和应变能力等的综合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八、计分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1.复试成绩（满分100分）＝专业素养成绩+专业英语成绩+综合能力成绩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2.总成绩（满分100分）＝（初试成绩÷5）×60％＋复试成绩×40%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九</w:t>
      </w:r>
      <w:r>
        <w:rPr>
          <w:rFonts w:asciiTheme="minorHAnsi" w:hAnsiTheme="minorHAnsi" w:eastAsiaTheme="minorEastAsia" w:cstheme="minorBidi"/>
          <w:i w:val="0"/>
          <w:iCs w:val="0"/>
          <w:kern w:val="0"/>
          <w:sz w:val="24"/>
          <w:szCs w:val="24"/>
          <w:bdr w:val="none" w:color="auto" w:sz="0" w:space="0"/>
          <w:lang w:val="en-US" w:eastAsia="zh-CN" w:bidi="ar"/>
        </w:rPr>
        <w:t>、考生如被拟录取，须按照学校要求办理相关手续，拟录取为全日制非定向就业的考生发放《调档函》。具体要求待录取工作结束后在考生群内通知，请各位考生关注官网通知。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十</w:t>
      </w:r>
      <w:r>
        <w:rPr>
          <w:rFonts w:asciiTheme="minorHAnsi" w:hAnsiTheme="minorHAnsi" w:eastAsiaTheme="minorEastAsia" w:cstheme="minorBidi"/>
          <w:i w:val="0"/>
          <w:iCs w:val="0"/>
          <w:kern w:val="0"/>
          <w:sz w:val="24"/>
          <w:szCs w:val="24"/>
          <w:bdr w:val="none" w:color="auto" w:sz="0" w:space="0"/>
          <w:lang w:val="en-US" w:eastAsia="zh-CN" w:bidi="ar"/>
        </w:rPr>
        <w:t>、所有拟录取的考生都必须参加体检，凡体检结果属于上级文件规定的不适宜相关专业录取的考生，学校将取消拟录取资格或取消学籍。请参加复试的考生提前了解体检标准和要求，以免因体检不合格被取消录取资格或取消学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联系电话：0564-3338627</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6FE5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2023-05-25T10:15:02Z</dcterms:created>
  <dc:creator>Administrator</dc:creator>
  <cp:lastModifiedBy>王英</cp:lastModifiedBy>
  <dcterms:modified xsi:type="dcterms:W3CDTF">2023-05-25T10:15:10Z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89E73670ABA14CEDB2CA19D956FBD294</vt:lpwstr>
  </property>
</Properties>
</file>