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rPr>
          <w:b/>
          <w:bCs/>
          <w:sz w:val="28"/>
          <w:szCs w:val="28"/>
        </w:rPr>
      </w:pPr>
      <w:bookmarkStart w:id="0" w:name="_GoBack"/>
      <w:r>
        <w:rPr>
          <w:b/>
          <w:bCs/>
          <w:sz w:val="28"/>
          <w:szCs w:val="28"/>
          <w:bdr w:val="none" w:color="auto" w:sz="0" w:space="0"/>
        </w:rPr>
        <w:t>安徽医科大学附属合肥医院2023年硕士研究生招生生源调剂方案</w:t>
      </w:r>
    </w:p>
    <w:bookmarkEnd w:id="0"/>
    <w:p>
      <w:pPr>
        <w:keepNext w:val="0"/>
        <w:keepLines w:val="0"/>
        <w:widowControl/>
        <w:suppressLineNumbers w:val="0"/>
        <w:pBdr>
          <w:top w:val="none" w:color="auto" w:sz="0" w:space="0"/>
          <w:left w:val="none" w:color="auto" w:sz="0" w:space="0"/>
          <w:bottom w:val="single" w:color="DDDDDD" w:sz="4" w:space="7"/>
          <w:right w:val="none" w:color="auto" w:sz="0" w:space="0"/>
        </w:pBdr>
        <w:spacing w:before="0" w:beforeAutospacing="0" w:after="350" w:afterAutospacing="0"/>
        <w:ind w:left="0" w:right="0"/>
        <w:jc w:val="left"/>
        <w:rPr>
          <w:color w:val="999999"/>
        </w:rPr>
      </w:pPr>
      <w:r>
        <w:rPr>
          <w:rFonts w:ascii="宋体" w:hAnsi="宋体" w:eastAsia="宋体" w:cs="宋体"/>
          <w:color w:val="999999"/>
          <w:kern w:val="0"/>
          <w:sz w:val="24"/>
          <w:szCs w:val="24"/>
          <w:bdr w:val="none" w:color="auto" w:sz="0" w:space="0"/>
          <w:lang w:val="en-US" w:eastAsia="zh-CN" w:bidi="ar"/>
        </w:rPr>
        <w:t>发布时间：2023-04-05来源: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ascii="仿宋_GB2312" w:eastAsia="仿宋_GB2312" w:cs="仿宋_GB2312"/>
          <w:sz w:val="21"/>
          <w:szCs w:val="21"/>
          <w:bdr w:val="none" w:color="auto" w:sz="0" w:space="0"/>
        </w:rPr>
        <w:t>为进一步加强</w:t>
      </w:r>
      <w:r>
        <w:rPr>
          <w:rFonts w:hint="default" w:ascii="仿宋_GB2312" w:eastAsia="仿宋_GB2312" w:cs="仿宋_GB2312"/>
          <w:sz w:val="21"/>
          <w:szCs w:val="21"/>
          <w:bdr w:val="none" w:color="auto" w:sz="0" w:space="0"/>
        </w:rPr>
        <w:t>我院2023年硕士研究生招生生源调剂管理工作，根据教育部《2023年全国硕士研究生招生工作管理规定》、《关于做好2023年全国硕士研究生招生录取工作的通知》、《安徽医科大学2023年硕士研究生招生生源调剂方案》等文件及会议精神，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一、调剂原则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生源调剂遵循公开透明、公平公正、考生自愿的原则。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二、生源调剂基本条件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1.考生成绩（单科、总分）须达到安徽医科大学规定的复试分数线要求（国家复试 A类线），</w:t>
      </w:r>
      <w:r>
        <w:rPr>
          <w:rFonts w:hint="default" w:ascii="仿宋_GB2312" w:eastAsia="仿宋_GB2312" w:cs="仿宋_GB2312"/>
          <w:sz w:val="21"/>
          <w:szCs w:val="21"/>
          <w:u w:val="single"/>
          <w:bdr w:val="none" w:color="auto" w:sz="0" w:space="0"/>
        </w:rPr>
        <w:t>其中临床医学专业学位各专业（专业代码1051开头）调剂考生分数线为总分310分，单科达国家复试 A类线。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2.符合安徽医科大学招生报考指南及专业目录所规定的报考要求（</w:t>
      </w:r>
      <w:r>
        <w:rPr>
          <w:rFonts w:hint="default" w:ascii="仿宋_GB2312" w:eastAsia="仿宋_GB2312" w:cs="仿宋_GB2312"/>
          <w:sz w:val="21"/>
          <w:szCs w:val="21"/>
          <w:u w:val="single"/>
          <w:bdr w:val="none" w:color="auto" w:sz="0" w:space="0"/>
        </w:rPr>
        <w:t>如英语、学历、学制、学习形式要求等，具体见招生章程及专业目录，特别要注意备注栏目的要求</w:t>
      </w:r>
      <w:r>
        <w:rPr>
          <w:rFonts w:hint="default" w:ascii="仿宋_GB2312" w:eastAsia="仿宋_GB2312" w:cs="仿宋_GB2312"/>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3.调入专业与第一志愿报考专业相同或相近，应在同一学科门类范围内。初试科目与调入专业初试科目相同或相近，其中初试全国统一命题科目应与调入专业全国统一命题科目相同。满足教育部有关调剂的其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4.临床医学和口腔医学一级学科各专业：报考临床医学类专业学位硕士研究生的考生可按相关政策调剂到其他专业，报考其他专业（含医学学术学位）的考生不可调剂到临床医学类专业学位；对于本科阶段为临床医学二级学科专业的专业学位考生，如申请调剂专业学位，只能申请调剂到相同的二级学科专业（详见招生简章说明）；一志愿报考非临床（口腔）医学专业的考生不能调入临床（口腔）医学，且临床医学和口腔医学不能互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5.未经网上公示的缺额，一律不调剂考生。所有专业均不接受同等学力考生调剂。非全日制仅接收在职定向就业人员调剂，其他与全日制考生各项调剂要求一致。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6.在培住院医师规范化培训学员、已取得《住院医师规范化培训合格证书》人员以及退出规培三年内的人员不得报考、不得调剂临床医学和口腔医学硕士专业学位研究生；农村订单定向免费培养医学生不得报考、不得调剂全日制硕士研究生（上级有关部门文件规定的特定情形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三、调剂复试安排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（一）调剂复试方式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我院2023年硕士研究生招生考试调剂复试工作采用现场复试，根据总成绩排名。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（二）调剂复试内容及形式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调剂复试由专业素养考核、专业英语考核和综合能力考核三部分组成。我院根据学科特点和专业要求，在确保调剂复试考核科学有效、公平公正和可操作的前提下，科学设计流程，优化程序。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1.专业素养考核（满分50分）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我院自主组织专业理论知识、基本技能等专业相关素养的考核，采取命题考试的形式开展。其中专业知识考试满分30分；基本技能考核满分20分。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2.专业英语考核（满分20分）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我院自主组织专业英语应用能力的考核，以笔试形式开展。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3.综合能力考核（满分30分）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通过资料查验和面试形式考核，包括对考生大学期间的成绩、毕业论文、科研成果、获奖、专家推荐信等情况；考生既往学业、一贯表现、科研能力、综合素质和思想品德等情况；考生专业发展潜力、创新创业精神；专业外的社会实践表现；事业心、责任感、纪律性、协作性和心理健康状况；人文素养、语言表达和应变能力等的综合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调剂复试由我院统一组织，并事先向考生公布复试时间、程序及相关安排。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（三）计分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1.调剂复试成绩（满分100分）＝专业素养成绩+专业英语成绩+综合能力成绩；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2.总成绩（满分100分）＝（初试成绩÷5）×60％＋复试成绩×40%。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（四）复试要求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调剂复试前，我院完成考生的《诚信复试承诺书》、初试准考证、有效居民身份证、学生证（应届生）或学历学位证书（往届生）、学历学籍核验结果、政审表等材料的审查核验工作。同时会同技术平台提供方，积极运用“人脸识别”、“人证识别”等技术，并通过综合比对“报考库”、“学籍学历库”、“人口信息库”、“考生考试诚信档案库”等措施，加强对考生身份的审查核验，严防复试“替考”。复试过程中建立“随机确定考生复试次序”“随机确定复试小组组成人员”“随机抽取复试试题”的“三随机”工作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80"/>
      </w:pPr>
      <w:r>
        <w:rPr>
          <w:rFonts w:hint="default" w:ascii="仿宋_GB2312" w:eastAsia="仿宋_GB2312" w:cs="仿宋_GB2312"/>
          <w:sz w:val="21"/>
          <w:szCs w:val="21"/>
          <w:bdr w:val="none" w:color="auto" w:sz="0" w:space="0"/>
        </w:rPr>
        <w:t>每位考生面试时间一般不少于20分钟，对每位考生的作答情况进行现场记录，面试结束后填写《安徽医科大学硕士研究生复试情况表》。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四、调剂工作要求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1.我院接收所有调剂考生（包括校内和校外调剂考生），调剂均通过教育部指定的“全国硕士生招生调剂服务系统”（以下简称教育部调剂系统， </w:t>
      </w:r>
      <w:r>
        <w:rPr>
          <w:color w:val="333333"/>
          <w:sz w:val="16"/>
          <w:szCs w:val="16"/>
          <w:u w:val="none"/>
          <w:bdr w:val="none" w:color="auto" w:sz="0" w:space="0"/>
        </w:rPr>
        <w:fldChar w:fldCharType="begin"/>
      </w:r>
      <w:r>
        <w:rPr>
          <w:color w:val="333333"/>
          <w:sz w:val="16"/>
          <w:szCs w:val="16"/>
          <w:u w:val="none"/>
          <w:bdr w:val="none" w:color="auto" w:sz="0" w:space="0"/>
        </w:rPr>
        <w:instrText xml:space="preserve"> HYPERLINK "https://yz.chsi.com.xn--cn),-o84fo9t22cx08a7na178b0rb82gh33d1cegn3aj3g77et60cbkohraq64dqmam2c./" </w:instrText>
      </w:r>
      <w:r>
        <w:rPr>
          <w:color w:val="333333"/>
          <w:sz w:val="16"/>
          <w:szCs w:val="16"/>
          <w:u w:val="none"/>
          <w:bdr w:val="none" w:color="auto" w:sz="0" w:space="0"/>
        </w:rPr>
        <w:fldChar w:fldCharType="separate"/>
      </w:r>
      <w:r>
        <w:rPr>
          <w:rStyle w:val="6"/>
          <w:rFonts w:hint="default" w:ascii="仿宋_GB2312" w:eastAsia="仿宋_GB2312" w:cs="仿宋_GB2312"/>
          <w:color w:val="3E3E3E"/>
          <w:sz w:val="21"/>
          <w:szCs w:val="21"/>
          <w:u w:val="none"/>
          <w:bdr w:val="none" w:color="auto" w:sz="0" w:space="0"/>
        </w:rPr>
        <w:t>https://yz、chsi、com、cn）进行，未通过该系统调剂录取的考生一律无效。</w:t>
      </w:r>
      <w:r>
        <w:rPr>
          <w:color w:val="333333"/>
          <w:sz w:val="16"/>
          <w:szCs w:val="1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2.申请调剂考生只能填写我院一个专业或研究方向（即只能填写一个我院志愿，</w:t>
      </w:r>
      <w:r>
        <w:rPr>
          <w:rFonts w:hint="default" w:ascii="仿宋_GB2312" w:eastAsia="仿宋_GB2312" w:cs="仿宋_GB2312"/>
          <w:color w:val="333333"/>
          <w:sz w:val="21"/>
          <w:szCs w:val="21"/>
          <w:bdr w:val="none" w:color="auto" w:sz="0" w:space="0"/>
        </w:rPr>
        <w:t>有研究方向的必须选择研究方向），多报或不选研究方向视为无效报名</w:t>
      </w:r>
      <w:r>
        <w:rPr>
          <w:rFonts w:hint="default" w:ascii="仿宋_GB2312" w:eastAsia="仿宋_GB2312" w:cs="仿宋_GB2312"/>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3.对申请我院的调剂考生，原则上按调剂该专业考生（剔除不合格考生,包括填报两条及以上志愿考生，不符合专业报考要求的考生等）的初试成绩总分从高到低排序，同时综合考虑，按照调剂比例确定调剂成功考生名单。如遇考生不按要求确认或调剂成功后放弃，将视情况补充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4.我院调剂复试采取差额形式，有缺额的专业在调剂生源充足的情况下，差额比例一般为1:2左右（有相同分数的视情况予以递补），所有满足本学科（专业）复试基本要求的考生均可参加调剂复试。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5.考生一旦“确认拟录取”则视为同意被我院拟录取，应对本人行为负责，诚信应考，不得以任何理由提出取消拟录取资格。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400" w:lineRule="atLeast"/>
        <w:ind w:left="0" w:right="0" w:firstLine="430"/>
      </w:pPr>
      <w:r>
        <w:rPr>
          <w:rFonts w:ascii="方正仿宋_GB2312" w:hAnsi="方正仿宋_GB2312" w:eastAsia="方正仿宋_GB2312" w:cs="方正仿宋_GB2312"/>
          <w:sz w:val="20"/>
          <w:szCs w:val="20"/>
          <w:bdr w:val="none" w:color="auto" w:sz="0" w:space="0"/>
        </w:rPr>
        <w:t>6</w:t>
      </w:r>
      <w:r>
        <w:rPr>
          <w:rFonts w:hint="default" w:ascii="方正仿宋_GB2312" w:hAnsi="方正仿宋_GB2312" w:eastAsia="方正仿宋_GB2312" w:cs="方正仿宋_GB2312"/>
          <w:sz w:val="20"/>
          <w:szCs w:val="20"/>
          <w:bdr w:val="none" w:color="auto" w:sz="0" w:space="0"/>
        </w:rPr>
        <w:t>.</w:t>
      </w:r>
      <w:r>
        <w:rPr>
          <w:rFonts w:hint="default" w:ascii="仿宋_GB2312" w:eastAsia="仿宋_GB2312" w:cs="仿宋_GB2312"/>
          <w:sz w:val="21"/>
          <w:szCs w:val="21"/>
          <w:bdr w:val="none" w:color="auto" w:sz="0" w:space="0"/>
        </w:rPr>
        <w:t>调剂工作中关于研究生调剂复试体检、思想政治素质和品德考核、录取原则、信息公开、招生纪律等有关要求具体见《安徽医科大学附属合肥医院（合肥市第二人民医院）2023年安徽医科大学硕士研究生招生复试、录取工作实施办法》中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430"/>
      </w:pPr>
      <w:r>
        <w:rPr>
          <w:rFonts w:hint="default" w:ascii="仿宋_GB2312" w:eastAsia="仿宋_GB2312" w:cs="仿宋_GB2312"/>
          <w:sz w:val="21"/>
          <w:szCs w:val="21"/>
          <w:bdr w:val="none" w:color="auto" w:sz="0" w:space="0"/>
        </w:rPr>
        <w:t>如上级主管部门出台新的政策，以新政策为准。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3950"/>
      </w:pPr>
      <w:r>
        <w:rPr>
          <w:rFonts w:hint="default" w:ascii="仿宋_GB2312" w:eastAsia="仿宋_GB2312" w:cs="仿宋_GB2312"/>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2560"/>
        <w:jc w:val="right"/>
      </w:pPr>
      <w:r>
        <w:rPr>
          <w:rFonts w:hint="default" w:ascii="仿宋_GB2312" w:eastAsia="仿宋_GB2312" w:cs="仿宋_GB2312"/>
          <w:sz w:val="21"/>
          <w:szCs w:val="21"/>
          <w:bdr w:val="none" w:color="auto" w:sz="0" w:space="0"/>
        </w:rPr>
        <w:t>安徽医科大学附属合肥医院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70" w:lineRule="atLeast"/>
        <w:ind w:left="0" w:right="0" w:firstLine="280"/>
        <w:jc w:val="right"/>
      </w:pPr>
      <w:r>
        <w:rPr>
          <w:rFonts w:hint="default" w:ascii="仿宋_GB2312" w:eastAsia="仿宋_GB2312" w:cs="仿宋_GB2312"/>
          <w:sz w:val="21"/>
          <w:szCs w:val="21"/>
          <w:bdr w:val="none" w:color="auto" w:sz="0" w:space="0"/>
        </w:rPr>
        <w:t>                           2023年4月5日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0" w:afterAutospacing="0" w:line="30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5F45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2023-05-25T10:01:12Z</dcterms:created>
  <dc:creator>Administrator</dc:creator>
  <cp:lastModifiedBy>王英</cp:lastModifiedBy>
  <dcterms:modified xsi:type="dcterms:W3CDTF">2023-05-25T10:01:24Z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42678EAC226A42458C21FC9948785B43</vt:lpwstr>
  </property>
</Properties>
</file>