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spacing w:line="240" w:lineRule="atLeast"/>
              <w:jc w:val="center"/>
              <w:rPr>
                <w:rFonts w:hint="eastAsia" w:ascii="宋体" w:hAnsi="宋体" w:eastAsia="宋体" w:cs="宋体"/>
                <w:b/>
                <w:bCs/>
                <w:color w:val="224B88"/>
                <w:sz w:val="24"/>
                <w:szCs w:val="24"/>
              </w:rPr>
            </w:pPr>
            <w:bookmarkStart w:id="0" w:name="_GoBack"/>
            <w:r>
              <w:rPr>
                <w:rFonts w:hint="eastAsia" w:ascii="宋体" w:hAnsi="宋体" w:eastAsia="宋体" w:cs="宋体"/>
                <w:b/>
                <w:bCs/>
                <w:color w:val="224B88"/>
                <w:kern w:val="0"/>
                <w:sz w:val="24"/>
                <w:szCs w:val="24"/>
                <w:lang w:val="en-US" w:eastAsia="zh-CN" w:bidi="ar"/>
              </w:rPr>
              <w:t>安徽工业大学公共管理与法学院2023年硕士研究生招生调剂实施细则</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sz w:val="18"/>
                <w:szCs w:val="18"/>
              </w:rPr>
            </w:pPr>
            <w:r>
              <w:rPr>
                <w:rFonts w:hint="eastAsia" w:ascii="宋体" w:hAnsi="宋体" w:eastAsia="宋体" w:cs="宋体"/>
                <w:kern w:val="0"/>
                <w:sz w:val="18"/>
                <w:szCs w:val="18"/>
                <w:lang w:val="en-US" w:eastAsia="zh-CN" w:bidi="ar"/>
              </w:rPr>
              <w:t>2023-04-04 16:11   </w:t>
            </w:r>
            <w:r>
              <w:rPr>
                <w:rFonts w:hint="eastAsia" w:ascii="宋体" w:hAnsi="宋体" w:eastAsia="宋体" w:cs="宋体"/>
                <w:color w:val="919191"/>
                <w:kern w:val="0"/>
                <w:sz w:val="18"/>
                <w:szCs w:val="18"/>
                <w:lang w:val="en-US" w:eastAsia="zh-CN" w:bidi="ar"/>
              </w:rPr>
              <w:t>  (点击次数：643)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rPr>
                <w:rFonts w:hint="eastAsia" w:ascii="宋体" w:hAnsi="宋体" w:eastAsia="宋体" w:cs="宋体"/>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pStyle w:val="2"/>
              <w:keepNext w:val="0"/>
              <w:keepLines w:val="0"/>
              <w:widowControl/>
              <w:suppressLineNumbers w:val="0"/>
              <w:spacing w:line="330" w:lineRule="atLeast"/>
              <w:ind w:left="0" w:firstLine="370"/>
            </w:pPr>
            <w:r>
              <w:rPr>
                <w:rFonts w:ascii="仿宋" w:hAnsi="仿宋" w:eastAsia="仿宋" w:cs="仿宋"/>
                <w:sz w:val="19"/>
                <w:szCs w:val="19"/>
              </w:rPr>
              <w:t>根据安徽工业大学</w:t>
            </w:r>
            <w:r>
              <w:rPr>
                <w:rFonts w:hint="eastAsia" w:ascii="仿宋" w:hAnsi="仿宋" w:eastAsia="仿宋" w:cs="仿宋"/>
                <w:sz w:val="19"/>
                <w:szCs w:val="19"/>
              </w:rPr>
              <w:t>2023年硕士研究生招生复试及录取工作办法的文件精神，结合公共管理与法学院各学科、专业实际情况，制定本调剂实施细则。</w:t>
            </w:r>
          </w:p>
          <w:p>
            <w:pPr>
              <w:pStyle w:val="2"/>
              <w:keepNext w:val="0"/>
              <w:keepLines w:val="0"/>
              <w:widowControl/>
              <w:suppressLineNumbers w:val="0"/>
              <w:spacing w:line="330" w:lineRule="atLeast"/>
            </w:pPr>
            <w:r>
              <w:rPr>
                <w:rStyle w:val="5"/>
                <w:rFonts w:hint="eastAsia" w:ascii="仿宋" w:hAnsi="仿宋" w:eastAsia="仿宋" w:cs="仿宋"/>
                <w:b/>
                <w:bCs/>
                <w:sz w:val="19"/>
                <w:szCs w:val="19"/>
              </w:rPr>
              <w:t>一、接收调剂的要求</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1.符合调入专业的报考条件（详见我校硕士研究生招生简章中的报考条件及专业目录中的备注要求）。</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2.初试成绩符合第一志愿报考专业在A区的初试成绩基本要求。</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3.调入专业与第一志愿报考专业相同或相近，应在同一学科门类范围内。</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4.初试科目与调入专业初试科目相同或相近，其中初试全国统一命题科目应与调入专业全国统一命题科目相同。</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5.满足教育部规定有关调剂的其他要求。</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6.“大学生退役士兵专项计划”暂不接收调剂。</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7.非全日制硕士研究生原则上只招收在职定向就业人员，即调剂我校且学习方式为“非全日制”的考生，录取类别为“定向”。</w:t>
            </w:r>
          </w:p>
          <w:p>
            <w:pPr>
              <w:pStyle w:val="2"/>
              <w:keepNext w:val="0"/>
              <w:keepLines w:val="0"/>
              <w:widowControl/>
              <w:suppressLineNumbers w:val="0"/>
              <w:spacing w:line="330" w:lineRule="atLeast"/>
            </w:pPr>
            <w:r>
              <w:rPr>
                <w:rStyle w:val="5"/>
                <w:rFonts w:hint="eastAsia" w:ascii="仿宋" w:hAnsi="仿宋" w:eastAsia="仿宋" w:cs="仿宋"/>
                <w:b/>
                <w:bCs/>
                <w:sz w:val="19"/>
                <w:szCs w:val="19"/>
              </w:rPr>
              <w:t>二、拟接收调剂专业及方向（最终以我校在国家调剂系统中公布的为准）</w:t>
            </w:r>
          </w:p>
          <w:tbl>
            <w:tblPr>
              <w:tblW w:w="618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910"/>
              <w:gridCol w:w="730"/>
              <w:gridCol w:w="1378"/>
              <w:gridCol w:w="1292"/>
              <w:gridCol w:w="1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40" w:hRule="atLeast"/>
                <w:tblCellSpacing w:w="0" w:type="dxa"/>
                <w:jc w:val="center"/>
              </w:trPr>
              <w:tc>
                <w:tcPr>
                  <w:tcW w:w="10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院所名称</w:t>
                  </w:r>
                </w:p>
              </w:tc>
              <w:tc>
                <w:tcPr>
                  <w:tcW w:w="7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专业代码</w:t>
                  </w:r>
                </w:p>
              </w:tc>
              <w:tc>
                <w:tcPr>
                  <w:tcW w:w="15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专业名称及方向</w:t>
                  </w:r>
                </w:p>
              </w:tc>
              <w:tc>
                <w:tcPr>
                  <w:tcW w:w="144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ind w:left="0" w:firstLine="370"/>
                  </w:pPr>
                  <w:r>
                    <w:rPr>
                      <w:rFonts w:hint="eastAsia" w:ascii="仿宋" w:hAnsi="仿宋" w:eastAsia="仿宋" w:cs="仿宋"/>
                      <w:sz w:val="19"/>
                      <w:szCs w:val="19"/>
                      <w:bdr w:val="none" w:color="auto" w:sz="0" w:space="0"/>
                    </w:rPr>
                    <w:t>类型</w:t>
                  </w:r>
                </w:p>
              </w:tc>
              <w:tc>
                <w:tcPr>
                  <w:tcW w:w="14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招生咨询联系人及联系方式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103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011公共管理与法学院</w:t>
                  </w:r>
                </w:p>
              </w:tc>
              <w:tc>
                <w:tcPr>
                  <w:tcW w:w="7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0305Z1</w:t>
                  </w:r>
                </w:p>
              </w:tc>
              <w:tc>
                <w:tcPr>
                  <w:tcW w:w="15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社会政策与社会法</w:t>
                  </w:r>
                </w:p>
              </w:tc>
              <w:tc>
                <w:tcPr>
                  <w:tcW w:w="14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全日制学术学位</w:t>
                  </w:r>
                </w:p>
              </w:tc>
              <w:tc>
                <w:tcPr>
                  <w:tcW w:w="146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曹老师</w:t>
                  </w:r>
                </w:p>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0555-2315336</w:t>
                  </w:r>
                </w:p>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cxy122@ahut.edu.cn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0" w:hRule="atLeast"/>
                <w:tblCellSpacing w:w="0" w:type="dxa"/>
                <w:jc w:val="center"/>
              </w:trPr>
              <w:tc>
                <w:tcPr>
                  <w:tcW w:w="103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7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035101</w:t>
                  </w:r>
                </w:p>
              </w:tc>
              <w:tc>
                <w:tcPr>
                  <w:tcW w:w="15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法律（非法学）</w:t>
                  </w:r>
                </w:p>
              </w:tc>
              <w:tc>
                <w:tcPr>
                  <w:tcW w:w="14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全日制专业学位</w:t>
                  </w:r>
                </w:p>
              </w:tc>
              <w:tc>
                <w:tcPr>
                  <w:tcW w:w="146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0" w:hRule="atLeast"/>
                <w:tblCellSpacing w:w="0" w:type="dxa"/>
                <w:jc w:val="center"/>
              </w:trPr>
              <w:tc>
                <w:tcPr>
                  <w:tcW w:w="103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7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035102</w:t>
                  </w:r>
                </w:p>
              </w:tc>
              <w:tc>
                <w:tcPr>
                  <w:tcW w:w="15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法律（法学）</w:t>
                  </w:r>
                </w:p>
              </w:tc>
              <w:tc>
                <w:tcPr>
                  <w:tcW w:w="14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全日制专业学位</w:t>
                  </w:r>
                </w:p>
              </w:tc>
              <w:tc>
                <w:tcPr>
                  <w:tcW w:w="146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0" w:hRule="atLeast"/>
                <w:tblCellSpacing w:w="0" w:type="dxa"/>
                <w:jc w:val="center"/>
              </w:trPr>
              <w:tc>
                <w:tcPr>
                  <w:tcW w:w="103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c>
                <w:tcPr>
                  <w:tcW w:w="7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125200</w:t>
                  </w:r>
                </w:p>
              </w:tc>
              <w:tc>
                <w:tcPr>
                  <w:tcW w:w="15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公共管理（MPA）</w:t>
                  </w:r>
                </w:p>
              </w:tc>
              <w:tc>
                <w:tcPr>
                  <w:tcW w:w="14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30" w:lineRule="atLeast"/>
                  </w:pPr>
                  <w:r>
                    <w:rPr>
                      <w:rFonts w:hint="eastAsia" w:ascii="仿宋" w:hAnsi="仿宋" w:eastAsia="仿宋" w:cs="仿宋"/>
                      <w:sz w:val="19"/>
                      <w:szCs w:val="19"/>
                      <w:bdr w:val="none" w:color="auto" w:sz="0" w:space="0"/>
                    </w:rPr>
                    <w:t>非全日制专业学位</w:t>
                  </w:r>
                </w:p>
              </w:tc>
              <w:tc>
                <w:tcPr>
                  <w:tcW w:w="146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宋体"/>
                      <w:sz w:val="24"/>
                      <w:szCs w:val="24"/>
                    </w:rPr>
                  </w:pPr>
                </w:p>
              </w:tc>
            </w:tr>
          </w:tbl>
          <w:p>
            <w:pPr>
              <w:pStyle w:val="2"/>
              <w:keepNext w:val="0"/>
              <w:keepLines w:val="0"/>
              <w:widowControl/>
              <w:suppressLineNumbers w:val="0"/>
              <w:spacing w:line="330" w:lineRule="atLeast"/>
              <w:ind w:left="0" w:firstLine="320"/>
            </w:pPr>
          </w:p>
          <w:p>
            <w:pPr>
              <w:pStyle w:val="2"/>
              <w:keepNext w:val="0"/>
              <w:keepLines w:val="0"/>
              <w:widowControl/>
              <w:suppressLineNumbers w:val="0"/>
              <w:spacing w:line="330" w:lineRule="atLeast"/>
            </w:pPr>
            <w:r>
              <w:rPr>
                <w:rStyle w:val="5"/>
                <w:rFonts w:hint="eastAsia" w:ascii="仿宋" w:hAnsi="仿宋" w:eastAsia="仿宋" w:cs="仿宋"/>
                <w:b/>
                <w:bCs/>
                <w:sz w:val="19"/>
                <w:szCs w:val="19"/>
              </w:rPr>
              <w:t>三、调剂程序</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待中国研究生招生信息网调剂系统开通后，届时考生须及时登录“中国研究生招生信息网”(http://yz.chsi.com.cn/ )“网上调剂系统”，按要求提交个人调剂信息。学校根据专业需求和考生初试成绩，择优向考生发送复试通知；调剂考生接收到复试通知后，须登录调剂系统进行确认，并按时参加学校组织的复试；复试合格的调剂考生收到我校发送的“待录取”通知后，应在学校规定时间内登录调剂系统确认录取，否则视作自动放弃。</w:t>
            </w:r>
          </w:p>
          <w:p>
            <w:pPr>
              <w:pStyle w:val="2"/>
              <w:keepNext w:val="0"/>
              <w:keepLines w:val="0"/>
              <w:widowControl/>
              <w:suppressLineNumbers w:val="0"/>
              <w:spacing w:line="330" w:lineRule="atLeast"/>
            </w:pPr>
            <w:r>
              <w:rPr>
                <w:rStyle w:val="5"/>
                <w:rFonts w:hint="eastAsia" w:ascii="仿宋" w:hAnsi="仿宋" w:eastAsia="仿宋" w:cs="仿宋"/>
                <w:b/>
                <w:bCs/>
                <w:sz w:val="19"/>
                <w:szCs w:val="19"/>
              </w:rPr>
              <w:t>四、调剂复试办法</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调剂考生复试办法见《安徽工业大学公共管理与法学院2023年硕士研究生招生复试及录取工作实施细则--网络远程复试考生（法律硕士除外）》和《安徽工业大学公共管理与学院2023年硕士研究生招生复试及录取工作实施细则--现场复试考生（法律硕士）》,详见网页https://gfxy.ahut.edu.cn/index/yjs.htm</w:t>
            </w:r>
          </w:p>
          <w:p>
            <w:pPr>
              <w:pStyle w:val="2"/>
              <w:keepNext w:val="0"/>
              <w:keepLines w:val="0"/>
              <w:widowControl/>
              <w:suppressLineNumbers w:val="0"/>
              <w:spacing w:line="330" w:lineRule="atLeast"/>
            </w:pPr>
            <w:r>
              <w:rPr>
                <w:rStyle w:val="5"/>
                <w:rFonts w:hint="eastAsia" w:ascii="仿宋" w:hAnsi="仿宋" w:eastAsia="仿宋" w:cs="仿宋"/>
                <w:b/>
                <w:bCs/>
                <w:sz w:val="19"/>
                <w:szCs w:val="19"/>
              </w:rPr>
              <w:t>五、调剂考生复试日程安排</w:t>
            </w:r>
          </w:p>
          <w:p>
            <w:pPr>
              <w:pStyle w:val="2"/>
              <w:keepNext w:val="0"/>
              <w:keepLines w:val="0"/>
              <w:widowControl/>
              <w:suppressLineNumbers w:val="0"/>
              <w:spacing w:line="330" w:lineRule="atLeast"/>
            </w:pPr>
            <w:r>
              <w:rPr>
                <w:rFonts w:hint="eastAsia" w:ascii="仿宋" w:hAnsi="仿宋" w:eastAsia="仿宋" w:cs="仿宋"/>
                <w:b w:val="0"/>
                <w:bCs w:val="0"/>
                <w:sz w:val="19"/>
                <w:szCs w:val="19"/>
              </w:rPr>
              <w:t>1.社会政策与社会法、MPA专业（网络远程复试）</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　　调试、测试时间：2023年4月7日晚上19：00开始</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　  正式复试时间：2023年4月8日上午8：30开始。</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　　联系人：曹老师，电话：0555-2315336</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要求:请各位考生保持通讯畅通，如果是考生个人原因导致联系不上，由考生自行承担责任。MPA调剂考生另外需要加思想政治考试：面试现场考核，以抽题作答形式进行。</w:t>
            </w:r>
          </w:p>
          <w:p>
            <w:pPr>
              <w:pStyle w:val="2"/>
              <w:keepNext w:val="0"/>
              <w:keepLines w:val="0"/>
              <w:widowControl/>
              <w:suppressLineNumbers w:val="0"/>
              <w:spacing w:line="330" w:lineRule="atLeast"/>
            </w:pPr>
            <w:r>
              <w:rPr>
                <w:rFonts w:hint="eastAsia" w:ascii="仿宋" w:hAnsi="仿宋" w:eastAsia="仿宋" w:cs="仿宋"/>
                <w:b w:val="0"/>
                <w:bCs w:val="0"/>
                <w:sz w:val="19"/>
                <w:szCs w:val="19"/>
              </w:rPr>
              <w:t>2.法律硕士(现场复试)</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1)报到及资格审查</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考生于4月9日上午8：00-9：00分直接到佳山校区（佳山校区地址：安徽省马鞍山市湖东路59号）公法楼101、112教室报到并接受资格审查（详见复试资格审查表）。需核对本人身份证、准考证、毕业证（学生证）原件及教育部学历证书电子注册备案表（或教育部学籍在线验证报告），并收取考生思想政治审查表和诚信复试承诺书。</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2)查验收费</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考生按学校规定的收费标准（100元/生）扫码缴纳复试费用，学院负责查验确认考生完成缴费。缴费二维码如下:</w:t>
            </w:r>
          </w:p>
          <w:p>
            <w:pPr>
              <w:pStyle w:val="2"/>
              <w:keepNext w:val="0"/>
              <w:keepLines w:val="0"/>
              <w:widowControl/>
              <w:suppressLineNumbers w:val="0"/>
              <w:spacing w:line="180" w:lineRule="atLeast"/>
              <w:ind w:left="0" w:firstLine="430"/>
              <w:jc w:val="center"/>
            </w:pPr>
            <w:r>
              <w:rPr>
                <w:rFonts w:hint="eastAsia" w:ascii="宋体" w:hAnsi="宋体" w:eastAsia="宋体" w:cs="宋体"/>
                <w:sz w:val="18"/>
                <w:szCs w:val="18"/>
              </w:rPr>
              <w:drawing>
                <wp:inline distT="0" distB="0" distL="114300" distR="114300">
                  <wp:extent cx="1857375" cy="185737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857375" cy="1857375"/>
                          </a:xfrm>
                          <a:prstGeom prst="rect">
                            <a:avLst/>
                          </a:prstGeom>
                          <a:noFill/>
                          <a:ln w="9525">
                            <a:noFill/>
                          </a:ln>
                        </pic:spPr>
                      </pic:pic>
                    </a:graphicData>
                  </a:graphic>
                </wp:inline>
              </w:drawing>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3)复试记录</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复试过程全程录像。复试过程中记录填写规范，填写《安徽工业大学硕士研究生复试情况登记表》。</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4)网上心理测试，见我校研究生招生信息网公布的复试须知。</w:t>
            </w:r>
          </w:p>
          <w:p>
            <w:pPr>
              <w:pStyle w:val="2"/>
              <w:keepNext w:val="0"/>
              <w:keepLines w:val="0"/>
              <w:widowControl/>
              <w:suppressLineNumbers w:val="0"/>
              <w:spacing w:line="330" w:lineRule="atLeast"/>
              <w:ind w:left="0" w:firstLine="370"/>
            </w:pPr>
            <w:r>
              <w:rPr>
                <w:rFonts w:hint="eastAsia" w:ascii="仿宋" w:hAnsi="仿宋" w:eastAsia="仿宋" w:cs="仿宋"/>
                <w:sz w:val="19"/>
                <w:szCs w:val="19"/>
              </w:rPr>
              <w:t>5)复试日程安排</w:t>
            </w:r>
          </w:p>
          <w:tbl>
            <w:tblPr>
              <w:tblW w:w="0" w:type="auto"/>
              <w:tblCellSpacing w:w="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340"/>
              <w:gridCol w:w="1500"/>
              <w:gridCol w:w="1520"/>
              <w:gridCol w:w="13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5680" w:type="dxa"/>
                  <w:gridSpan w:val="4"/>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top"/>
                </w:tcPr>
                <w:p>
                  <w:pPr>
                    <w:pStyle w:val="2"/>
                    <w:keepNext w:val="0"/>
                    <w:keepLines w:val="0"/>
                    <w:widowControl/>
                    <w:suppressLineNumbers w:val="0"/>
                    <w:spacing w:line="330" w:lineRule="atLeast"/>
                    <w:jc w:val="center"/>
                  </w:pPr>
                  <w:r>
                    <w:rPr>
                      <w:rFonts w:hint="eastAsia" w:ascii="仿宋" w:hAnsi="仿宋" w:eastAsia="仿宋" w:cs="仿宋"/>
                      <w:sz w:val="19"/>
                      <w:szCs w:val="19"/>
                      <w:bdr w:val="none" w:color="auto" w:sz="0" w:space="0"/>
                    </w:rPr>
                    <w:t>公共管理与法学院2023年硕士研究生招生调剂复试日程安排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center"/>
                    <w:textAlignment w:val="center"/>
                  </w:pPr>
                  <w:r>
                    <w:rPr>
                      <w:rStyle w:val="5"/>
                      <w:rFonts w:hint="eastAsia" w:ascii="仿宋" w:hAnsi="仿宋" w:eastAsia="仿宋" w:cs="仿宋"/>
                      <w:i w:val="0"/>
                      <w:iCs w:val="0"/>
                      <w:color w:val="000000"/>
                      <w:spacing w:val="0"/>
                      <w:sz w:val="20"/>
                      <w:szCs w:val="20"/>
                    </w:rPr>
                    <w:t>流程</w:t>
                  </w:r>
                </w:p>
              </w:tc>
              <w:tc>
                <w:tcPr>
                  <w:tcW w:w="15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center"/>
                    <w:textAlignment w:val="center"/>
                  </w:pPr>
                  <w:r>
                    <w:rPr>
                      <w:rStyle w:val="5"/>
                      <w:rFonts w:hint="eastAsia" w:ascii="仿宋" w:hAnsi="仿宋" w:eastAsia="仿宋" w:cs="仿宋"/>
                      <w:i w:val="0"/>
                      <w:iCs w:val="0"/>
                      <w:color w:val="000000"/>
                      <w:spacing w:val="0"/>
                      <w:sz w:val="20"/>
                      <w:szCs w:val="20"/>
                    </w:rPr>
                    <w:t>时间安排</w:t>
                  </w:r>
                </w:p>
              </w:tc>
              <w:tc>
                <w:tcPr>
                  <w:tcW w:w="15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center"/>
                    <w:textAlignment w:val="center"/>
                  </w:pPr>
                  <w:r>
                    <w:rPr>
                      <w:rStyle w:val="5"/>
                      <w:rFonts w:hint="eastAsia" w:ascii="仿宋" w:hAnsi="仿宋" w:eastAsia="仿宋" w:cs="仿宋"/>
                      <w:i w:val="0"/>
                      <w:iCs w:val="0"/>
                      <w:color w:val="000000"/>
                      <w:spacing w:val="0"/>
                      <w:sz w:val="20"/>
                      <w:szCs w:val="20"/>
                    </w:rPr>
                    <w:t>地点安排</w:t>
                  </w:r>
                </w:p>
              </w:tc>
              <w:tc>
                <w:tcPr>
                  <w:tcW w:w="13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center"/>
                    <w:textAlignment w:val="center"/>
                  </w:pPr>
                  <w:r>
                    <w:rPr>
                      <w:rStyle w:val="5"/>
                      <w:rFonts w:hint="eastAsia" w:ascii="仿宋" w:hAnsi="仿宋" w:eastAsia="仿宋" w:cs="仿宋"/>
                      <w:i w:val="0"/>
                      <w:iCs w:val="0"/>
                      <w:color w:val="000000"/>
                      <w:spacing w:val="0"/>
                      <w:sz w:val="20"/>
                      <w:szCs w:val="20"/>
                    </w:rPr>
                    <w:t>具体事项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0" w:hRule="atLeast"/>
                <w:tblCellSpacing w:w="0" w:type="dxa"/>
              </w:trPr>
              <w:tc>
                <w:tcPr>
                  <w:tcW w:w="13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left"/>
                    <w:textAlignment w:val="center"/>
                  </w:pPr>
                  <w:r>
                    <w:rPr>
                      <w:rFonts w:hint="eastAsia" w:ascii="仿宋" w:hAnsi="仿宋" w:eastAsia="仿宋" w:cs="仿宋"/>
                      <w:sz w:val="19"/>
                      <w:szCs w:val="19"/>
                    </w:rPr>
                    <w:t>1.公布复试名单</w:t>
                  </w:r>
                </w:p>
              </w:tc>
              <w:tc>
                <w:tcPr>
                  <w:tcW w:w="4350" w:type="dxa"/>
                  <w:gridSpan w:val="3"/>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center"/>
                    <w:textAlignment w:val="center"/>
                  </w:pPr>
                  <w:r>
                    <w:rPr>
                      <w:rFonts w:hint="eastAsia" w:ascii="仿宋" w:hAnsi="仿宋" w:eastAsia="仿宋" w:cs="仿宋"/>
                      <w:sz w:val="19"/>
                      <w:szCs w:val="19"/>
                    </w:rPr>
                    <w:t>复试前见学院官网公告。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left"/>
                    <w:textAlignment w:val="center"/>
                  </w:pPr>
                  <w:r>
                    <w:rPr>
                      <w:rFonts w:hint="eastAsia" w:ascii="仿宋" w:hAnsi="仿宋" w:eastAsia="仿宋" w:cs="仿宋"/>
                      <w:sz w:val="19"/>
                      <w:szCs w:val="19"/>
                    </w:rPr>
                    <w:t>2.报到及资格审查</w:t>
                  </w:r>
                </w:p>
              </w:tc>
              <w:tc>
                <w:tcPr>
                  <w:tcW w:w="15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center"/>
                    <w:textAlignment w:val="center"/>
                  </w:pPr>
                  <w:r>
                    <w:rPr>
                      <w:rFonts w:hint="eastAsia" w:ascii="仿宋" w:hAnsi="仿宋" w:eastAsia="仿宋" w:cs="仿宋"/>
                      <w:sz w:val="19"/>
                      <w:szCs w:val="19"/>
                    </w:rPr>
                    <w:t>4月9日上午8：00-9：00</w:t>
                  </w:r>
                </w:p>
              </w:tc>
              <w:tc>
                <w:tcPr>
                  <w:tcW w:w="15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center"/>
                    <w:textAlignment w:val="center"/>
                  </w:pPr>
                  <w:r>
                    <w:rPr>
                      <w:rFonts w:hint="eastAsia" w:ascii="仿宋" w:hAnsi="仿宋" w:eastAsia="仿宋" w:cs="仿宋"/>
                      <w:sz w:val="19"/>
                      <w:szCs w:val="19"/>
                    </w:rPr>
                    <w:t>佳山校区公法楼101、112教室</w:t>
                  </w:r>
                </w:p>
              </w:tc>
              <w:tc>
                <w:tcPr>
                  <w:tcW w:w="133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textAlignment w:val="center"/>
                  </w:pPr>
                  <w:r>
                    <w:rPr>
                      <w:rFonts w:hint="eastAsia" w:ascii="仿宋" w:hAnsi="仿宋" w:eastAsia="仿宋" w:cs="仿宋"/>
                      <w:sz w:val="19"/>
                      <w:szCs w:val="19"/>
                    </w:rPr>
                    <w:t>（1）资格审查</w:t>
                  </w:r>
                </w:p>
                <w:p>
                  <w:pPr>
                    <w:pStyle w:val="2"/>
                    <w:keepNext w:val="0"/>
                    <w:keepLines w:val="0"/>
                    <w:widowControl/>
                    <w:suppressLineNumbers w:val="0"/>
                    <w:spacing w:before="0" w:beforeAutospacing="0" w:after="0" w:afterAutospacing="0"/>
                    <w:ind w:left="0" w:right="0" w:firstLine="0"/>
                    <w:textAlignment w:val="center"/>
                  </w:pPr>
                  <w:r>
                    <w:rPr>
                      <w:rFonts w:hint="eastAsia" w:ascii="仿宋" w:hAnsi="仿宋" w:eastAsia="仿宋" w:cs="仿宋"/>
                      <w:sz w:val="19"/>
                      <w:szCs w:val="19"/>
                    </w:rPr>
                    <w:t>（2）政治审查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left"/>
                    <w:textAlignment w:val="center"/>
                  </w:pPr>
                  <w:r>
                    <w:rPr>
                      <w:rFonts w:hint="eastAsia" w:ascii="仿宋" w:hAnsi="仿宋" w:eastAsia="仿宋" w:cs="仿宋"/>
                      <w:sz w:val="19"/>
                      <w:szCs w:val="19"/>
                    </w:rPr>
                    <w:t>3.专业笔试</w:t>
                  </w:r>
                </w:p>
              </w:tc>
              <w:tc>
                <w:tcPr>
                  <w:tcW w:w="15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center"/>
                    <w:textAlignment w:val="center"/>
                  </w:pPr>
                  <w:r>
                    <w:rPr>
                      <w:rFonts w:hint="eastAsia" w:ascii="仿宋" w:hAnsi="仿宋" w:eastAsia="仿宋" w:cs="仿宋"/>
                      <w:sz w:val="19"/>
                      <w:szCs w:val="19"/>
                    </w:rPr>
                    <w:t>4月9日上午9：20-11：20</w:t>
                  </w:r>
                </w:p>
              </w:tc>
              <w:tc>
                <w:tcPr>
                  <w:tcW w:w="15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center"/>
                    <w:textAlignment w:val="center"/>
                  </w:pPr>
                  <w:r>
                    <w:rPr>
                      <w:rFonts w:hint="eastAsia" w:ascii="仿宋" w:hAnsi="仿宋" w:eastAsia="仿宋" w:cs="仿宋"/>
                      <w:sz w:val="19"/>
                      <w:szCs w:val="19"/>
                    </w:rPr>
                    <w:t>佳山校区公法楼101教室</w:t>
                  </w:r>
                </w:p>
              </w:tc>
              <w:tc>
                <w:tcPr>
                  <w:tcW w:w="13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left"/>
                    <w:textAlignment w:val="center"/>
                  </w:pPr>
                  <w:r>
                    <w:rPr>
                      <w:rFonts w:hint="eastAsia" w:ascii="仿宋" w:hAnsi="仿宋" w:eastAsia="仿宋" w:cs="仿宋"/>
                      <w:sz w:val="19"/>
                      <w:szCs w:val="19"/>
                    </w:rPr>
                    <w:t>4.复试考核（其他考核）</w:t>
                  </w:r>
                </w:p>
              </w:tc>
              <w:tc>
                <w:tcPr>
                  <w:tcW w:w="15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center"/>
                    <w:textAlignment w:val="center"/>
                  </w:pPr>
                  <w:r>
                    <w:rPr>
                      <w:rFonts w:hint="eastAsia" w:ascii="仿宋" w:hAnsi="仿宋" w:eastAsia="仿宋" w:cs="仿宋"/>
                      <w:sz w:val="19"/>
                      <w:szCs w:val="19"/>
                    </w:rPr>
                    <w:t>4月9日下午13：00开始</w:t>
                  </w:r>
                </w:p>
              </w:tc>
              <w:tc>
                <w:tcPr>
                  <w:tcW w:w="15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both"/>
                    <w:textAlignment w:val="center"/>
                  </w:pPr>
                  <w:r>
                    <w:rPr>
                      <w:rFonts w:hint="eastAsia" w:ascii="仿宋" w:hAnsi="仿宋" w:eastAsia="仿宋" w:cs="仿宋"/>
                      <w:sz w:val="19"/>
                      <w:szCs w:val="19"/>
                    </w:rPr>
                    <w:t>面试：佳山校区公法楼109、110、111教室</w:t>
                  </w:r>
                  <w:r>
                    <w:rPr>
                      <w:rFonts w:hint="eastAsia" w:ascii="仿宋" w:hAnsi="仿宋" w:eastAsia="仿宋" w:cs="仿宋"/>
                      <w:sz w:val="19"/>
                      <w:szCs w:val="19"/>
                    </w:rPr>
                    <w:br w:type="textWrapping"/>
                  </w:r>
                  <w:r>
                    <w:rPr>
                      <w:rFonts w:hint="eastAsia" w:ascii="仿宋" w:hAnsi="仿宋" w:eastAsia="仿宋" w:cs="仿宋"/>
                      <w:sz w:val="19"/>
                      <w:szCs w:val="19"/>
                    </w:rPr>
                    <w:t>候考：公法楼101、112教室</w:t>
                  </w:r>
                </w:p>
              </w:tc>
              <w:tc>
                <w:tcPr>
                  <w:tcW w:w="133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firstLine="0"/>
                    <w:textAlignment w:val="center"/>
                  </w:pPr>
                  <w:r>
                    <w:rPr>
                      <w:rFonts w:hint="eastAsia" w:ascii="仿宋" w:hAnsi="仿宋" w:eastAsia="仿宋" w:cs="仿宋"/>
                      <w:sz w:val="19"/>
                      <w:szCs w:val="19"/>
                    </w:rPr>
                    <w:t>法律（法学）</w:t>
                  </w:r>
                </w:p>
                <w:p>
                  <w:pPr>
                    <w:pStyle w:val="2"/>
                    <w:keepNext w:val="0"/>
                    <w:keepLines w:val="0"/>
                    <w:widowControl/>
                    <w:suppressLineNumbers w:val="0"/>
                    <w:spacing w:before="0" w:beforeAutospacing="0" w:after="0" w:afterAutospacing="0"/>
                    <w:ind w:left="0" w:right="0" w:firstLine="0"/>
                    <w:textAlignment w:val="center"/>
                  </w:pPr>
                  <w:r>
                    <w:rPr>
                      <w:rFonts w:hint="eastAsia" w:ascii="仿宋" w:hAnsi="仿宋" w:eastAsia="仿宋" w:cs="仿宋"/>
                      <w:sz w:val="19"/>
                      <w:szCs w:val="19"/>
                    </w:rPr>
                    <w:t>法律（非法学）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left"/>
                    <w:textAlignment w:val="center"/>
                  </w:pPr>
                  <w:r>
                    <w:rPr>
                      <w:rFonts w:hint="eastAsia" w:ascii="仿宋" w:hAnsi="仿宋" w:eastAsia="仿宋" w:cs="仿宋"/>
                      <w:sz w:val="19"/>
                      <w:szCs w:val="19"/>
                    </w:rPr>
                    <w:t>5.体检</w:t>
                  </w:r>
                </w:p>
              </w:tc>
              <w:tc>
                <w:tcPr>
                  <w:tcW w:w="4350" w:type="dxa"/>
                  <w:gridSpan w:val="3"/>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firstLine="0"/>
                    <w:textAlignment w:val="center"/>
                  </w:pPr>
                  <w:r>
                    <w:rPr>
                      <w:rFonts w:hint="eastAsia" w:ascii="仿宋" w:hAnsi="仿宋" w:eastAsia="仿宋" w:cs="仿宋"/>
                      <w:sz w:val="19"/>
                      <w:szCs w:val="19"/>
                    </w:rPr>
                    <w:t>考生体检工作在考生拟录取后组织进行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left"/>
                    <w:textAlignment w:val="center"/>
                  </w:pPr>
                  <w:r>
                    <w:rPr>
                      <w:rFonts w:hint="eastAsia" w:ascii="仿宋" w:hAnsi="仿宋" w:eastAsia="仿宋" w:cs="仿宋"/>
                      <w:sz w:val="19"/>
                      <w:szCs w:val="19"/>
                    </w:rPr>
                    <w:t>6.复试结果公示</w:t>
                  </w:r>
                </w:p>
              </w:tc>
              <w:tc>
                <w:tcPr>
                  <w:tcW w:w="4350" w:type="dxa"/>
                  <w:gridSpan w:val="3"/>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firstLine="0"/>
                    <w:textAlignment w:val="center"/>
                  </w:pPr>
                  <w:r>
                    <w:rPr>
                      <w:rFonts w:hint="eastAsia" w:ascii="仿宋" w:hAnsi="仿宋" w:eastAsia="仿宋" w:cs="仿宋"/>
                      <w:sz w:val="19"/>
                      <w:szCs w:val="19"/>
                    </w:rPr>
                    <w:t>见学院官网公告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0" w:type="dxa"/>
              </w:trPr>
              <w:tc>
                <w:tcPr>
                  <w:tcW w:w="134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jc w:val="left"/>
                    <w:textAlignment w:val="center"/>
                  </w:pPr>
                  <w:r>
                    <w:rPr>
                      <w:rFonts w:hint="eastAsia" w:ascii="仿宋" w:hAnsi="仿宋" w:eastAsia="仿宋" w:cs="仿宋"/>
                      <w:sz w:val="19"/>
                      <w:szCs w:val="19"/>
                    </w:rPr>
                    <w:t>7.拟录取</w:t>
                  </w:r>
                </w:p>
              </w:tc>
              <w:tc>
                <w:tcPr>
                  <w:tcW w:w="4350" w:type="dxa"/>
                  <w:gridSpan w:val="3"/>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before="0" w:beforeAutospacing="0" w:after="0" w:afterAutospacing="0"/>
                    <w:ind w:left="0" w:right="0" w:firstLine="0"/>
                    <w:textAlignment w:val="center"/>
                  </w:pPr>
                  <w:r>
                    <w:rPr>
                      <w:rFonts w:hint="eastAsia" w:ascii="仿宋" w:hAnsi="仿宋" w:eastAsia="仿宋" w:cs="仿宋"/>
                      <w:sz w:val="19"/>
                      <w:szCs w:val="19"/>
                    </w:rPr>
                    <w:t>见学校研</w:t>
                  </w:r>
                  <w:r>
                    <w:rPr>
                      <w:rStyle w:val="5"/>
                      <w:rFonts w:hint="eastAsia" w:ascii="仿宋" w:hAnsi="仿宋" w:eastAsia="仿宋" w:cs="仿宋"/>
                      <w:b/>
                      <w:bCs/>
                      <w:sz w:val="19"/>
                      <w:szCs w:val="19"/>
                    </w:rPr>
                    <w:t>究生招生</w:t>
                  </w:r>
                  <w:r>
                    <w:rPr>
                      <w:rFonts w:hint="eastAsia" w:ascii="仿宋" w:hAnsi="仿宋" w:eastAsia="仿宋" w:cs="仿宋"/>
                      <w:sz w:val="19"/>
                      <w:szCs w:val="19"/>
                    </w:rPr>
                    <w:t>信息网公告</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50" w:lineRule="atLeast"/>
              <w:ind w:left="0" w:right="0"/>
              <w:jc w:val="both"/>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50" w:lineRule="atLeast"/>
              <w:ind w:left="0" w:right="0"/>
              <w:jc w:val="right"/>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50" w:lineRule="atLeast"/>
              <w:ind w:left="0" w:right="0"/>
              <w:jc w:val="right"/>
            </w:pPr>
            <w:r>
              <w:rPr>
                <w:rFonts w:hint="eastAsia" w:ascii="仿宋" w:hAnsi="仿宋" w:eastAsia="仿宋" w:cs="仿宋"/>
                <w:sz w:val="19"/>
                <w:szCs w:val="19"/>
                <w:bdr w:val="none" w:color="auto" w:sz="0" w:space="0"/>
              </w:rPr>
              <w:t>安徽工业大学公共管理与法学院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250" w:lineRule="atLeast"/>
              <w:ind w:left="0" w:right="0"/>
              <w:jc w:val="center"/>
            </w:pPr>
            <w:r>
              <w:rPr>
                <w:rFonts w:hint="eastAsia" w:ascii="仿宋" w:hAnsi="仿宋" w:eastAsia="仿宋" w:cs="仿宋"/>
                <w:sz w:val="19"/>
                <w:szCs w:val="19"/>
                <w:bdr w:val="none" w:color="auto" w:sz="0" w:space="0"/>
              </w:rPr>
              <w:t>　　　　　　　　　　　　　     2023年4月4日</w:t>
            </w:r>
          </w:p>
          <w:p>
            <w:pPr>
              <w:pStyle w:val="2"/>
              <w:keepNext w:val="0"/>
              <w:keepLines w:val="0"/>
              <w:widowControl/>
              <w:suppressLineNumbers w:val="0"/>
              <w:spacing w:line="180" w:lineRule="atLeast"/>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E2D1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1536</Words>
  <Characters>1766</Characters>
  <Lines>0</Lines>
  <Paragraphs>0</Paragraphs>
  <TotalTime>0</TotalTime>
  <ScaleCrop>false</ScaleCrop>
  <LinksUpToDate>false</LinksUpToDate>
  <CharactersWithSpaces>1798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2023-04-26T10:56:30Z</dcterms:created>
  <dc:creator>Administrator</dc:creator>
  <cp:lastModifiedBy>王英</cp:lastModifiedBy>
  <dcterms:modified xsi:type="dcterms:W3CDTF">2023-04-26T10:56:51Z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15970768492543AB8AB0BC5355CF0E9B</vt:lpwstr>
  </property>
</Properties>
</file>