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i w:val="0"/>
          <w:iCs w:val="0"/>
          <w:caps w:val="0"/>
          <w:color w:val="333333"/>
          <w:spacing w:val="0"/>
          <w:sz w:val="20"/>
          <w:szCs w:val="20"/>
        </w:rPr>
      </w:pPr>
      <w:bookmarkStart w:id="0" w:name="_GoBack"/>
      <w:r>
        <w:rPr>
          <w:rFonts w:ascii="宋体" w:hAnsi="宋体" w:eastAsia="宋体" w:cs="宋体"/>
          <w:i w:val="0"/>
          <w:iCs w:val="0"/>
          <w:caps w:val="0"/>
          <w:color w:val="333333"/>
          <w:spacing w:val="0"/>
          <w:kern w:val="0"/>
          <w:sz w:val="20"/>
          <w:szCs w:val="20"/>
          <w:bdr w:val="none" w:color="auto" w:sz="0" w:space="0"/>
          <w:lang w:val="en-US" w:eastAsia="zh-CN" w:bidi="ar"/>
        </w:rPr>
        <w:t>安徽工程大学2023年拟接收硕士研究生调剂公告</w:t>
      </w:r>
    </w:p>
    <w:bookmarkEnd w:id="0"/>
    <w:p>
      <w:pPr>
        <w:keepNext w:val="0"/>
        <w:keepLines w:val="0"/>
        <w:widowControl/>
        <w:suppressLineNumbers w:val="0"/>
        <w:pBdr>
          <w:top w:val="none" w:color="auto" w:sz="0" w:space="0"/>
          <w:left w:val="none" w:color="auto" w:sz="0" w:space="0"/>
          <w:bottom w:val="single" w:color="EBEBEB" w:sz="2" w:space="0"/>
          <w:right w:val="none" w:color="auto" w:sz="0" w:space="0"/>
        </w:pBdr>
        <w:spacing w:before="0" w:beforeAutospacing="0" w:after="0" w:afterAutospacing="0" w:line="300" w:lineRule="atLeast"/>
        <w:ind w:left="0" w:right="0" w:firstLine="0"/>
        <w:jc w:val="center"/>
        <w:rPr>
          <w:rFonts w:hint="eastAsia" w:ascii="Arial" w:hAnsi="Arial" w:cs="Arial"/>
          <w:b w:val="0"/>
          <w:bCs w:val="0"/>
          <w:i w:val="0"/>
          <w:iCs w:val="0"/>
          <w:caps w:val="0"/>
          <w:color w:val="888888"/>
          <w:spacing w:val="0"/>
          <w:sz w:val="14"/>
          <w:szCs w:val="14"/>
        </w:rPr>
      </w:pPr>
      <w:r>
        <w:rPr>
          <w:rFonts w:hint="default" w:ascii="Arial" w:hAnsi="Arial" w:eastAsia="宋体" w:cs="Arial"/>
          <w:b w:val="0"/>
          <w:bCs w:val="0"/>
          <w:i w:val="0"/>
          <w:iCs w:val="0"/>
          <w:caps w:val="0"/>
          <w:color w:val="888888"/>
          <w:spacing w:val="0"/>
          <w:kern w:val="0"/>
          <w:sz w:val="14"/>
          <w:szCs w:val="14"/>
          <w:bdr w:val="none" w:color="auto" w:sz="0" w:space="0"/>
          <w:lang w:val="en-US" w:eastAsia="zh-CN" w:bidi="ar"/>
        </w:rPr>
        <w:t>发布时间： 2023-03-31 | 浏览次数： 10815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pPr>
      <w:r>
        <w:rPr>
          <w:rFonts w:hint="eastAsia" w:ascii="宋体" w:hAnsi="宋体" w:eastAsia="宋体" w:cs="宋体"/>
          <w:i w:val="0"/>
          <w:iCs w:val="0"/>
          <w:caps w:val="0"/>
          <w:color w:val="666666"/>
          <w:spacing w:val="0"/>
          <w:sz w:val="16"/>
          <w:szCs w:val="16"/>
          <w:bdr w:val="none" w:color="auto" w:sz="0" w:space="0"/>
        </w:rPr>
        <w:t>根据2023年全国硕士研究生招生考试考生进入复试的初试成绩基本要求，结合学校公布的招生计划，我校部分专业拟接收调剂考生，现将有关事项公告如下：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sz w:val="16"/>
          <w:szCs w:val="16"/>
        </w:rPr>
      </w:pPr>
      <w:r>
        <w:rPr>
          <w:rStyle w:val="6"/>
          <w:rFonts w:hint="eastAsia" w:ascii="宋体" w:hAnsi="宋体" w:eastAsia="宋体" w:cs="宋体"/>
          <w:i w:val="0"/>
          <w:iCs w:val="0"/>
          <w:caps w:val="0"/>
          <w:color w:val="666666"/>
          <w:spacing w:val="0"/>
          <w:sz w:val="16"/>
          <w:szCs w:val="16"/>
          <w:bdr w:val="none" w:color="auto" w:sz="0" w:space="0"/>
        </w:rPr>
        <w:t>一、调剂复试时间及形式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调剂系统开通时间为4月6日，具体时间见学校和相关学院后续通知。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调剂考生按照各学院公布的复试及录取办法采取线下复试或网络远程复试，具体复试方式见各学院后续通知。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注：我校的网络远程复试平台采用学信网的高校招生远程面试系统，同时，以“腾讯会议”作为备用系统。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sz w:val="16"/>
          <w:szCs w:val="16"/>
        </w:rPr>
      </w:pPr>
      <w:r>
        <w:rPr>
          <w:rStyle w:val="6"/>
          <w:rFonts w:hint="eastAsia" w:ascii="宋体" w:hAnsi="宋体" w:eastAsia="宋体" w:cs="宋体"/>
          <w:i w:val="0"/>
          <w:iCs w:val="0"/>
          <w:caps w:val="0"/>
          <w:color w:val="666666"/>
          <w:spacing w:val="0"/>
          <w:sz w:val="16"/>
          <w:szCs w:val="16"/>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1.基本原则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(1)所有调剂考生(既包括接收外单位调剂考生，也包括接收本单位内部专业间调剂的考生)必须通过教育部指定的“全国硕士研究生招生调剂服务系统”进行。未通过该系统调剂录取的考生一律无效。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(2)符合调入专业的报考条件。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(3)初试成绩必须达到教育部规定的A类考生复试分数线；符合国家有关调剂政策。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(4)调入专业与第一志愿报考专业相同或相近，应在同一学科门类范围内。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(5)初试科目与调入专业初试科目相同或相近，其中初试全国统一命题科目应与调入专业全国统一命题科目相同。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(6)第一志愿报考工商管理、公共管理、旅游管理、工程管理、会计、图书情报、审计专业学位硕士的考生，在满足调入专业报考条件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(7)除055100翻译专业外，我校只接收初试统考外国语为英语的调剂考生。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(8)“大学生退役士兵专项计划”暂不接收调剂。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(9)满足教育部规定有关调剂的其他要求。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2.各学院具体调剂要求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420" w:lineRule="atLeast"/>
        <w:ind w:left="0" w:right="0" w:firstLine="420"/>
        <w:rPr>
          <w:rFonts w:hint="eastAsia" w:ascii="宋体" w:hAnsi="宋体" w:eastAsia="宋体" w:cs="宋体"/>
          <w:color w:val="000000"/>
          <w:sz w:val="16"/>
          <w:szCs w:val="16"/>
        </w:rPr>
      </w:pPr>
      <w:r>
        <w:rPr>
          <w:rFonts w:hint="eastAsia" w:ascii="宋体" w:hAnsi="宋体" w:eastAsia="宋体" w:cs="宋体"/>
          <w:i w:val="0"/>
          <w:iCs w:val="0"/>
          <w:caps w:val="0"/>
          <w:color w:val="666666"/>
          <w:spacing w:val="0"/>
          <w:sz w:val="16"/>
          <w:szCs w:val="16"/>
          <w:bdr w:val="none" w:color="auto" w:sz="0" w:space="0"/>
        </w:rPr>
        <w:t>申请调剂考生除满足1.中基本原则外，还必须符合各调入专业的具体调剂要求，请见后续公告。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F605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2023-04-04T06:25:14Z</dcterms:created>
  <dc:creator>Administrator</dc:creator>
  <cp:lastModifiedBy>王英</cp:lastModifiedBy>
  <dcterms:modified xsi:type="dcterms:W3CDTF">2023-04-04T06:25:22Z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5D5FE420D3D5491490B4D256938E7794</vt:lpwstr>
  </property>
</Properties>
</file>