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rPr>
          <w:rFonts w:ascii="微软雅黑" w:hAnsi="微软雅黑" w:eastAsia="微软雅黑" w:cs="微软雅黑"/>
          <w:b w:val="0"/>
          <w:bCs w:val="0"/>
          <w:i w:val="0"/>
          <w:iCs w:val="0"/>
          <w:caps w:val="0"/>
          <w:color w:val="9D0D14"/>
          <w:spacing w:val="0"/>
          <w:sz w:val="20"/>
          <w:szCs w:val="20"/>
        </w:rPr>
      </w:pPr>
      <w:r>
        <w:rPr>
          <w:rFonts w:hint="eastAsia" w:ascii="微软雅黑" w:hAnsi="微软雅黑" w:eastAsia="微软雅黑" w:cs="微软雅黑"/>
          <w:b w:val="0"/>
          <w:bCs w:val="0"/>
          <w:i w:val="0"/>
          <w:iCs w:val="0"/>
          <w:caps w:val="0"/>
          <w:color w:val="9D0D14"/>
          <w:spacing w:val="0"/>
          <w:sz w:val="20"/>
          <w:szCs w:val="20"/>
          <w:bdr w:val="none" w:color="auto" w:sz="0" w:space="0"/>
        </w:rPr>
        <w:t>公共管理学院2023年硕士研究生公共管理专业调剂复试工作安排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0"/>
        <w:jc w:val="center"/>
        <w:rPr>
          <w:rFonts w:hint="eastAsia" w:ascii="微软雅黑" w:hAnsi="微软雅黑" w:eastAsia="微软雅黑" w:cs="微软雅黑"/>
          <w:b w:val="0"/>
          <w:bCs w:val="0"/>
          <w:i w:val="0"/>
          <w:iCs w:val="0"/>
          <w:caps w:val="0"/>
          <w:color w:val="000000"/>
          <w:spacing w:val="0"/>
          <w:sz w:val="12"/>
          <w:szCs w:val="12"/>
        </w:rPr>
      </w:pPr>
      <w:r>
        <w:rPr>
          <w:rFonts w:hint="eastAsia" w:ascii="微软雅黑" w:hAnsi="微软雅黑" w:eastAsia="微软雅黑" w:cs="微软雅黑"/>
          <w:b w:val="0"/>
          <w:bCs w:val="0"/>
          <w:i w:val="0"/>
          <w:iCs w:val="0"/>
          <w:caps w:val="0"/>
          <w:color w:val="808080"/>
          <w:spacing w:val="0"/>
          <w:sz w:val="14"/>
          <w:szCs w:val="14"/>
          <w:bdr w:val="none" w:color="auto" w:sz="0" w:space="0"/>
        </w:rPr>
        <w:t>日期：2023-04-04</w:t>
      </w:r>
      <w:r>
        <w:rPr>
          <w:rFonts w:hint="eastAsia" w:ascii="微软雅黑" w:hAnsi="微软雅黑" w:eastAsia="微软雅黑" w:cs="微软雅黑"/>
          <w:b w:val="0"/>
          <w:bCs w:val="0"/>
          <w:i w:val="0"/>
          <w:iCs w:val="0"/>
          <w:caps w:val="0"/>
          <w:color w:val="000000"/>
          <w:spacing w:val="0"/>
          <w:sz w:val="12"/>
          <w:szCs w:val="12"/>
          <w:bdr w:val="none" w:color="auto" w:sz="0" w:space="0"/>
        </w:rPr>
        <w:t> </w:t>
      </w:r>
      <w:r>
        <w:rPr>
          <w:rFonts w:hint="eastAsia" w:ascii="微软雅黑" w:hAnsi="微软雅黑" w:eastAsia="微软雅黑" w:cs="微软雅黑"/>
          <w:b w:val="0"/>
          <w:bCs w:val="0"/>
          <w:i w:val="0"/>
          <w:iCs w:val="0"/>
          <w:caps w:val="0"/>
          <w:color w:val="808080"/>
          <w:spacing w:val="0"/>
          <w:sz w:val="14"/>
          <w:szCs w:val="14"/>
          <w:bdr w:val="none" w:color="auto" w:sz="0" w:space="0"/>
        </w:rPr>
        <w:t>编辑：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320" w:lineRule="atLeast"/>
        <w:ind w:left="0" w:right="0" w:firstLine="420"/>
        <w:rPr>
          <w:rFonts w:hint="eastAsia" w:ascii="微软雅黑" w:hAnsi="微软雅黑" w:eastAsia="微软雅黑" w:cs="微软雅黑"/>
          <w:i w:val="0"/>
          <w:iCs w:val="0"/>
          <w:caps w:val="0"/>
          <w:color w:val="4C4C4C"/>
          <w:spacing w:val="0"/>
          <w:sz w:val="27"/>
          <w:szCs w:val="27"/>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643"/>
        <w:jc w:val="center"/>
        <w:rPr>
          <w:rFonts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643"/>
        <w:jc w:val="center"/>
        <w:rPr>
          <w:rFonts w:hint="default" w:ascii="Calibri" w:hAnsi="Calibri" w:cs="Calibri"/>
          <w:sz w:val="21"/>
          <w:szCs w:val="21"/>
        </w:rPr>
      </w:pPr>
      <w:r>
        <w:rPr>
          <w:rStyle w:val="7"/>
          <w:rFonts w:ascii="黑体" w:hAnsi="宋体" w:eastAsia="黑体" w:cs="黑体"/>
          <w:b/>
          <w:bCs/>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一、复试形式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ascii="仿宋" w:hAnsi="仿宋" w:eastAsia="仿宋" w:cs="仿宋"/>
          <w:i w:val="0"/>
          <w:iCs w:val="0"/>
          <w:caps w:val="0"/>
          <w:color w:val="000000"/>
          <w:spacing w:val="0"/>
          <w:kern w:val="0"/>
          <w:sz w:val="28"/>
          <w:szCs w:val="28"/>
          <w:bdr w:val="none" w:color="auto" w:sz="0" w:space="0"/>
          <w:lang w:val="en-US" w:eastAsia="zh-CN" w:bidi="ar"/>
        </w:rPr>
        <w:t>公共管理专业</w:t>
      </w:r>
      <w:r>
        <w:rPr>
          <w:rFonts w:hint="eastAsia" w:ascii="仿宋" w:hAnsi="仿宋" w:eastAsia="仿宋" w:cs="仿宋"/>
          <w:i w:val="0"/>
          <w:iCs w:val="0"/>
          <w:caps w:val="0"/>
          <w:color w:val="000000"/>
          <w:spacing w:val="0"/>
          <w:kern w:val="0"/>
          <w:sz w:val="28"/>
          <w:szCs w:val="28"/>
          <w:bdr w:val="none" w:color="auto" w:sz="0" w:space="0"/>
          <w:lang w:val="en-US" w:eastAsia="zh-CN" w:bidi="ar"/>
        </w:rPr>
        <w:t>调剂考生全部采用现场线上方式具体远程复试系统操作要求、使用说明、注意事项等另见操作手册。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559" w:right="0" w:firstLine="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二、复试名单确定办法</w:t>
      </w:r>
      <w:r>
        <w:rPr>
          <w:rFonts w:hint="eastAsia" w:ascii="微软雅黑" w:hAnsi="微软雅黑" w:eastAsia="微软雅黑" w:cs="微软雅黑"/>
          <w:i w:val="0"/>
          <w:iCs w:val="0"/>
          <w:caps w:val="0"/>
          <w:color w:val="000000"/>
          <w:spacing w:val="0"/>
          <w:kern w:val="0"/>
          <w:sz w:val="28"/>
          <w:szCs w:val="28"/>
          <w:bdr w:val="none" w:color="auto" w:sz="0" w:space="0"/>
          <w:lang w:val="en-US" w:eastAsia="zh-CN" w:bidi="ar"/>
        </w:rPr>
        <w:br w:type="textWrapping"/>
      </w:r>
      <w:r>
        <w:rPr>
          <w:rFonts w:hint="eastAsia" w:ascii="仿宋" w:hAnsi="仿宋" w:eastAsia="仿宋" w:cs="仿宋"/>
          <w:i w:val="0"/>
          <w:iCs w:val="0"/>
          <w:caps w:val="0"/>
          <w:color w:val="000000"/>
          <w:spacing w:val="0"/>
          <w:kern w:val="0"/>
          <w:sz w:val="28"/>
          <w:szCs w:val="28"/>
          <w:bdr w:val="none" w:color="auto" w:sz="0" w:space="0"/>
          <w:lang w:val="en-US" w:eastAsia="zh-CN" w:bidi="ar"/>
        </w:rPr>
        <w:t>复试采取差额形式，差额比例一般不低于120%。按比例划定复试名单复试人数进位取整，总分相同者同时进入复试范围。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三、资格审核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参照《2023年硕士研究生复试录取工作办法》中有关规定执行（http://www.yjszs.sdnu.edu.cn/info/1006/2765.htm）。考生要按时、按要求提交相关资格审核材料，严禁弄虚作假、冒名顶替。凡未进行资格审查或资格审查未通过的考生，一律取消其复试资格。线上提交材料标准可参照我校《2023年硕士研究生远程复试审核材料清单》（附件2）。对提交材料的真实性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1.有效居民身份证。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2.初试准考证。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3.个人简述。内容包括个人的思想状况、学习情况、获奖情况、科研情况、社会实践经历或工作业绩等，简述内容要真实准确，主要用于对考生进行全面考查。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4.思想政治素质和品德考核表下载链接：2023年硕士研究生复试录取工作办法-山东师范大学研究生招生信息网  http://www.yjszs.sdnu.edu.cn/info/1006/2765.htm。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5.毕业证、学位证（无学位证的可不提供学位证）。持境外学历、学位证书报考的考生，须提供教育部留学服务中心的认证报告原件。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6.报名确认时未通过网上学历（学籍）校验的考生，还须提供学历(学籍)认证报告。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7.报考退役大学生士兵专项考生除携带应（往）届毕业生所需材料的同时，还需提供《应征入伍批准书》和退出现役证复印件，如学籍认证报告等。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8.符合加分政策的考生，还须提供相关加分项目身份、考核合格等证明材料。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9.《诚信复试承诺书》（在“2023年硕士研究生复试录取工作办法-山东师范大学研究生招生信息网  </w:t>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fldChar w:fldCharType="begin"/>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instrText xml:space="preserve"> HYPERLINK "http://www.yjszs.sdnu.edu.cn/info/1006/2765.htm/%E2%80%9D%E4%B8%8B%E8%BD%BD%EF%BC%89" </w:instrText>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fldChar w:fldCharType="separate"/>
      </w:r>
      <w:r>
        <w:rPr>
          <w:rStyle w:val="8"/>
          <w:rFonts w:hint="eastAsia" w:ascii="仿宋" w:hAnsi="仿宋" w:eastAsia="仿宋" w:cs="仿宋"/>
          <w:i w:val="0"/>
          <w:iCs w:val="0"/>
          <w:caps w:val="0"/>
          <w:color w:val="000000"/>
          <w:spacing w:val="0"/>
          <w:sz w:val="28"/>
          <w:szCs w:val="28"/>
          <w:u w:val="none"/>
          <w:bdr w:val="none" w:color="auto" w:sz="0" w:space="0"/>
        </w:rPr>
        <w:t>http://www.yjszs.sdnu.edu.cn/info/1006/2765.htm”下载）</w:t>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远程复试的考生按照要求将所需材料整合成一个PDF文件，通过线上提交相关材料。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四、复试具体安排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4月6日下午12:30考生在进行远程设备测试。14:30考试正式开始复试。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2"/>
        <w:jc w:val="center"/>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五、复试内容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远程复试由专业课面试、综合面试、外语听说能力测试、思想政治理论4个部分组成。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六、思想政治素质和道德品质考核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主要考核考生本人的现实表现，内容应当包括政治态度、思想表现、道德品质、遵纪守法、诚实守信、心理健康情况等方面。学院通过审查考生《思想政治素质和品德考核表》（附件2）、档案材料、单位鉴定意见或面试的方式进行。考生应当如实填写，提供材料真实。考核结果以合格、不合格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（一）总成绩核算方式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考试总成绩=初试成绩+复试成绩（专业课成绩+2×综合面试成绩+外语听说能力成绩+政治理论成绩）。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（二）总成绩排名方式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考试总成绩从高分到低分排序；如总成绩相同，依次比较初试成绩、复试综合面试成绩。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（三）拟录取名单确定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拟录取名单按招生计划，单独排队录取。根据复试合格考生的招生考试总成绩从高分到低分确定。先录取一志愿考生，调剂考生按照剩余计划从高分到低分排名录取。非全日制考生专业课、思想政治理论、加试成绩、综合面试成绩、外语听说成绩、思想政治素质和道德素质考核、体检等任何一项不合格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根据规定，非全日制考生只能录取为定向就业。定向就业的硕士研究生须在被录取前与招生单位、用人单位分别签订定向就业合同。考生因报考硕士研究生与所在单位产生的问题由考生自行处理。若因此造成考生不能复试或无法录取，招生单位不承担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经考生确认的报考信息在录取阶段一律不作修改，对报考资格不符合规定者不予录取。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  体检：MPA考生在拟录取名单公布后，自行选择二级甲等及以上医院进行一般健康体检，体检内容可参照《山东师范大学研究生复试体检表》，按规定时间将体检报告或体检表扫描版发送至研究生招生办公室邮箱。体检不合格者取消入学资格。</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黑体" w:hAnsi="宋体" w:eastAsia="黑体" w:cs="黑体"/>
          <w:i w:val="0"/>
          <w:iCs w:val="0"/>
          <w:caps w:val="0"/>
          <w:color w:val="000000"/>
          <w:spacing w:val="0"/>
          <w:kern w:val="0"/>
          <w:sz w:val="28"/>
          <w:szCs w:val="28"/>
          <w:bdr w:val="none" w:color="auto" w:sz="0" w:space="0"/>
          <w:lang w:val="en-US" w:eastAsia="zh-CN" w:bidi="ar"/>
        </w:rPr>
        <w:t>八、联系方式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山东师范大学公共管理学院  http://www.gggl.sdnu.edu.cn/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公共管理学院MPA招生联系电话：0531-86180512  86180572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调剂复试通知QQ群：778922464</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39A39F7"/>
    <w:rsid w:val="139A3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2023-04-17T01:05:00Z</dcterms:created>
  <dc:creator>晴天</dc:creator>
  <cp:lastModifiedBy>晴天</cp:lastModifiedBy>
  <dcterms:modified xsi:type="dcterms:W3CDTF">2023-04-17T01:06:25Z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D3EEBF3068B94914AA609AFFC60611D4_11</vt:lpwstr>
  </property>
</Properties>
</file>