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484848"/>
          <w:spacing w:val="0"/>
          <w:sz w:val="18"/>
          <w:szCs w:val="18"/>
        </w:rPr>
      </w:pPr>
      <w:r>
        <w:rPr>
          <w:rFonts w:hint="eastAsia" w:ascii="微软雅黑" w:hAnsi="微软雅黑" w:eastAsia="微软雅黑" w:cs="微软雅黑"/>
          <w:b w:val="0"/>
          <w:bCs w:val="0"/>
          <w:i w:val="0"/>
          <w:iCs w:val="0"/>
          <w:caps w:val="0"/>
          <w:color w:val="484848"/>
          <w:spacing w:val="0"/>
          <w:sz w:val="18"/>
          <w:szCs w:val="18"/>
          <w:bdr w:val="none" w:color="auto" w:sz="0" w:space="0"/>
        </w:rPr>
        <w:t>土木工程学院2023年硕士研究生招生拟接收调剂专业公告</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260" w:afterAutospacing="0" w:line="400" w:lineRule="atLeast"/>
        <w:ind w:left="0" w:right="0" w:firstLine="0"/>
        <w:jc w:val="center"/>
        <w:rPr>
          <w:rFonts w:hint="eastAsia" w:ascii="微软雅黑" w:hAnsi="微软雅黑" w:eastAsia="微软雅黑" w:cs="微软雅黑"/>
          <w:b w:val="0"/>
          <w:bCs w:val="0"/>
          <w:i w:val="0"/>
          <w:iCs w:val="0"/>
          <w:caps w:val="0"/>
          <w:color w:val="9A9A9A"/>
          <w:spacing w:val="0"/>
          <w:sz w:val="14"/>
          <w:szCs w:val="14"/>
        </w:rPr>
      </w:pPr>
      <w:r>
        <w:rPr>
          <w:rFonts w:hint="eastAsia" w:ascii="微软雅黑" w:hAnsi="微软雅黑" w:eastAsia="微软雅黑" w:cs="微软雅黑"/>
          <w:b w:val="0"/>
          <w:bCs w:val="0"/>
          <w:i w:val="0"/>
          <w:iCs w:val="0"/>
          <w:caps w:val="0"/>
          <w:color w:val="9A9A9A"/>
          <w:spacing w:val="0"/>
          <w:sz w:val="14"/>
          <w:szCs w:val="14"/>
          <w:bdr w:val="none" w:color="auto" w:sz="0" w:space="0"/>
        </w:rPr>
        <w:t>发布时间：2023-04-04文章来源：教学科研办公室浏览次数：735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一、学院简介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土木工程学院源于1956年时为城市建设部创建的济南城市建设工程学校工业与民用建筑专业，是学校建校伊始的唯一一个专业。学院设有土木工程、城市地下空间工程、智能建造三个本科专业。土木工程专业是国家级特色专业、国家首批一流本科专业建设点、教育部“卓越工程师教育培养计划”实施专业、国家首批本科专业综合改革试点专业、山东省高水平应用型重点建设专业，通过工程教育认证，并开办土木工程专业、中外合作办学项目与国际留学生项目。城市地下空间工程专业入选国家一流本科专业建设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学院拥有土木工程一级学科硕士点，专业硕士学位授予权；二级学科方向包括：工程结构与防灾减灾、岩土工程、桥梁与隧道工程、土木工程材料、土木工程建造与管理。学院拥有绿色建筑博士人才培养项目绿色建造方向博士点，具有推荐优秀毕业生免试就读硕士研究生资格。土木工程学科为山东省一流学科，学科评估位列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学院现有教职工156人，其中教授29人，副教授55人，具有博士学位94人，博士生导师11人，已形成一支知识和年龄结构合理的教师队伍。拥有国家级人才1人、山东省“一事一议”引进顶尖人才计划1人，新世纪百千万人才工程国家级人选3人，新世纪优秀人才支持计划1人，泰山学者4人，山东省有突出贡献的中青年专家3人，省级教学名师2人。建筑结构移位与加固改造教育部创新团队是山东省属高校唯一土木工程方向教育部创新团队，土木结构安全与防灾教师团队为山东省高校黄大年式教师团队，工程结构防灾减灾团队为山东省高校优秀科研创新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学院拥有建筑结构加固改造与地下空间工程教育部重点实验室、土木结构诊断改造与抗灾山东省工程技术研究中心、绿色建筑钢结构山东省工程技术研究中心、山东省高校土木结构防灾减灾协同创新中心、山东省装配式建筑工程实验室、土木工程国家级实验教学示范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学院瞄准世界科技前沿和中国建造重大需求，重点发展“既有结构加固改造与性能提升”“高性能结构体系与防灾”“岩土地震工程与工程岩土体稳定性”等优势特色方向，建筑物移位与加固改造、工程结构抗火等处于同行业领先地位，实施了世界最重、国内最远建筑物移位改造，国内最高建筑物纠倾，人民大会堂山东厅加固与功能提升，济青高铁客站、济南奥体中心结构健康监测，孟加拉电厂地基处理等重大、特色工程，先后获国家技术发明二等奖、国家科技进步二等奖、全国科学大会奖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学院始终把人才培养质量作为立院之本，60多年来已为社会培养出万余名土建类高级专门技术人才，就业率及就业质量一直稳居全省同类专业前列，已成为山东省建设行业高水平应用研究型人才培养基地。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二、拟接受调剂专业</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510"/>
        <w:gridCol w:w="1430"/>
        <w:gridCol w:w="1260"/>
        <w:gridCol w:w="13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80" w:hRule="atLeast"/>
        </w:trPr>
        <w:tc>
          <w:tcPr>
            <w:tcW w:w="15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Style w:val="7"/>
                <w:rFonts w:ascii="仿宋" w:hAnsi="仿宋" w:eastAsia="仿宋" w:cs="仿宋"/>
                <w:color w:val="333333"/>
                <w:sz w:val="16"/>
                <w:szCs w:val="16"/>
                <w:bdr w:val="none" w:color="auto" w:sz="0" w:space="0"/>
              </w:rPr>
              <w:t>类型</w:t>
            </w:r>
          </w:p>
        </w:tc>
        <w:tc>
          <w:tcPr>
            <w:tcW w:w="14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Style w:val="7"/>
                <w:rFonts w:hint="eastAsia" w:ascii="仿宋" w:hAnsi="仿宋" w:eastAsia="仿宋" w:cs="仿宋"/>
                <w:color w:val="333333"/>
                <w:sz w:val="16"/>
                <w:szCs w:val="16"/>
                <w:bdr w:val="none" w:color="auto" w:sz="0" w:space="0"/>
              </w:rPr>
              <w:t>招生专业（方向）</w:t>
            </w:r>
          </w:p>
        </w:tc>
        <w:tc>
          <w:tcPr>
            <w:tcW w:w="12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Style w:val="7"/>
                <w:rFonts w:hint="eastAsia" w:ascii="仿宋" w:hAnsi="仿宋" w:eastAsia="仿宋" w:cs="仿宋"/>
                <w:color w:val="333333"/>
                <w:sz w:val="16"/>
                <w:szCs w:val="16"/>
                <w:bdr w:val="none" w:color="auto" w:sz="0" w:space="0"/>
              </w:rPr>
              <w:t>复试资格要求</w:t>
            </w:r>
          </w:p>
        </w:tc>
        <w:tc>
          <w:tcPr>
            <w:tcW w:w="13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Style w:val="7"/>
                <w:rFonts w:hint="eastAsia" w:ascii="仿宋" w:hAnsi="仿宋" w:eastAsia="仿宋" w:cs="仿宋"/>
                <w:color w:val="333333"/>
                <w:sz w:val="16"/>
                <w:szCs w:val="16"/>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290" w:hRule="atLeast"/>
        </w:trPr>
        <w:tc>
          <w:tcPr>
            <w:tcW w:w="1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eastAsia" w:ascii="仿宋" w:hAnsi="仿宋" w:eastAsia="仿宋" w:cs="仿宋"/>
                <w:color w:val="606060"/>
                <w:sz w:val="16"/>
                <w:szCs w:val="16"/>
                <w:bdr w:val="none" w:color="auto" w:sz="0" w:space="0"/>
              </w:rPr>
              <w:t>全日制学术学位</w:t>
            </w:r>
          </w:p>
        </w:tc>
        <w:tc>
          <w:tcPr>
            <w:tcW w:w="1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ascii="Times New Roman" w:hAnsi="Times New Roman" w:cs="Times New Roman"/>
                <w:color w:val="606060"/>
                <w:sz w:val="16"/>
                <w:szCs w:val="16"/>
                <w:bdr w:val="none" w:color="auto" w:sz="0" w:space="0"/>
              </w:rPr>
              <w:t>081400</w:t>
            </w:r>
            <w:r>
              <w:rPr>
                <w:rFonts w:hint="eastAsia" w:ascii="仿宋" w:hAnsi="仿宋" w:eastAsia="仿宋" w:cs="仿宋"/>
                <w:color w:val="606060"/>
                <w:sz w:val="28"/>
                <w:szCs w:val="28"/>
                <w:bdr w:val="none" w:color="auto" w:sz="0" w:space="0"/>
              </w:rPr>
              <w:t>土木工程</w:t>
            </w:r>
          </w:p>
        </w:tc>
        <w:tc>
          <w:tcPr>
            <w:tcW w:w="12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eastAsia" w:ascii="仿宋" w:hAnsi="仿宋" w:eastAsia="仿宋" w:cs="仿宋"/>
                <w:color w:val="606060"/>
                <w:sz w:val="28"/>
                <w:szCs w:val="28"/>
                <w:bdr w:val="none" w:color="auto" w:sz="0" w:space="0"/>
              </w:rPr>
              <w:t>国家复试</w:t>
            </w:r>
            <w:r>
              <w:rPr>
                <w:rFonts w:hint="default" w:ascii="Times New Roman" w:hAnsi="Times New Roman" w:cs="Times New Roman"/>
                <w:color w:val="606060"/>
                <w:sz w:val="16"/>
                <w:szCs w:val="16"/>
                <w:bdr w:val="none" w:color="auto" w:sz="0" w:space="0"/>
              </w:rPr>
              <w:t>A</w:t>
            </w:r>
            <w:r>
              <w:rPr>
                <w:rFonts w:hint="eastAsia" w:ascii="仿宋" w:hAnsi="仿宋" w:eastAsia="仿宋" w:cs="仿宋"/>
                <w:color w:val="606060"/>
                <w:sz w:val="28"/>
                <w:szCs w:val="28"/>
                <w:bdr w:val="none" w:color="auto" w:sz="0" w:space="0"/>
              </w:rPr>
              <w:t>线</w:t>
            </w:r>
          </w:p>
        </w:tc>
        <w:tc>
          <w:tcPr>
            <w:tcW w:w="13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default" w:ascii="Times New Roman" w:hAnsi="Times New Roman" w:cs="Times New Roman"/>
                <w:color w:val="606060"/>
                <w:sz w:val="16"/>
                <w:szCs w:val="16"/>
                <w:bdr w:val="none" w:color="auto" w:sz="0" w:space="0"/>
              </w:rPr>
              <w:t>35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eastAsia" w:ascii="仿宋" w:hAnsi="仿宋" w:eastAsia="仿宋" w:cs="仿宋"/>
                <w:color w:val="606060"/>
                <w:sz w:val="16"/>
                <w:szCs w:val="16"/>
                <w:bdr w:val="none" w:color="auto" w:sz="0" w:space="0"/>
              </w:rPr>
              <w:t>非全日制专业学位</w:t>
            </w:r>
          </w:p>
        </w:tc>
        <w:tc>
          <w:tcPr>
            <w:tcW w:w="14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default" w:ascii="Times New Roman" w:hAnsi="Times New Roman" w:cs="Times New Roman"/>
                <w:color w:val="606060"/>
                <w:sz w:val="16"/>
                <w:szCs w:val="16"/>
                <w:bdr w:val="none" w:color="auto" w:sz="0" w:space="0"/>
              </w:rPr>
              <w:t>085901</w:t>
            </w:r>
            <w:r>
              <w:rPr>
                <w:rFonts w:hint="eastAsia" w:ascii="仿宋" w:hAnsi="仿宋" w:eastAsia="仿宋" w:cs="仿宋"/>
                <w:color w:val="606060"/>
                <w:sz w:val="28"/>
                <w:szCs w:val="28"/>
                <w:bdr w:val="none" w:color="auto" w:sz="0" w:space="0"/>
              </w:rPr>
              <w:t>土木工程</w:t>
            </w:r>
          </w:p>
        </w:tc>
        <w:tc>
          <w:tcPr>
            <w:tcW w:w="12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eastAsia" w:ascii="仿宋" w:hAnsi="仿宋" w:eastAsia="仿宋" w:cs="仿宋"/>
                <w:color w:val="606060"/>
                <w:sz w:val="28"/>
                <w:szCs w:val="28"/>
                <w:bdr w:val="none" w:color="auto" w:sz="0" w:space="0"/>
              </w:rPr>
              <w:t>国家复试</w:t>
            </w:r>
            <w:r>
              <w:rPr>
                <w:rFonts w:hint="default" w:ascii="Times New Roman" w:hAnsi="Times New Roman" w:cs="Times New Roman"/>
                <w:color w:val="606060"/>
                <w:sz w:val="16"/>
                <w:szCs w:val="16"/>
                <w:bdr w:val="none" w:color="auto" w:sz="0" w:space="0"/>
              </w:rPr>
              <w:t>A</w:t>
            </w:r>
            <w:r>
              <w:rPr>
                <w:rFonts w:hint="eastAsia" w:ascii="仿宋" w:hAnsi="仿宋" w:eastAsia="仿宋" w:cs="仿宋"/>
                <w:color w:val="606060"/>
                <w:sz w:val="28"/>
                <w:szCs w:val="28"/>
                <w:bdr w:val="none" w:color="auto" w:sz="0" w:space="0"/>
              </w:rPr>
              <w:t>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ascii="仿宋_gb2312" w:hAnsi="仿宋_gb2312" w:eastAsia="仿宋_gb2312" w:cs="仿宋_gb2312"/>
                <w:color w:val="606060"/>
                <w:sz w:val="16"/>
                <w:szCs w:val="16"/>
                <w:bdr w:val="none" w:color="auto" w:sz="0" w:space="0"/>
              </w:rPr>
              <w:t>且</w:t>
            </w:r>
            <w:r>
              <w:rPr>
                <w:rFonts w:hint="default" w:ascii="仿宋_gb2312" w:hAnsi="仿宋_gb2312" w:eastAsia="仿宋_gb2312" w:cs="仿宋_gb2312"/>
                <w:color w:val="606060"/>
                <w:sz w:val="16"/>
                <w:szCs w:val="16"/>
                <w:bdr w:val="none" w:color="auto" w:sz="0" w:space="0"/>
              </w:rPr>
              <w:t>总分</w:t>
            </w:r>
            <w:r>
              <w:rPr>
                <w:rFonts w:hint="default" w:ascii="Times New Roman" w:hAnsi="Times New Roman" w:cs="Times New Roman"/>
                <w:color w:val="606060"/>
                <w:sz w:val="16"/>
                <w:szCs w:val="16"/>
                <w:bdr w:val="none" w:color="auto" w:sz="0" w:space="0"/>
              </w:rPr>
              <w:t>≥300</w:t>
            </w:r>
          </w:p>
        </w:tc>
        <w:tc>
          <w:tcPr>
            <w:tcW w:w="13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606060"/>
                <w:sz w:val="28"/>
                <w:szCs w:val="28"/>
              </w:rPr>
            </w:pPr>
            <w:r>
              <w:rPr>
                <w:rFonts w:hint="default" w:ascii="Times New Roman" w:hAnsi="Times New Roman" w:cs="Times New Roman"/>
                <w:color w:val="606060"/>
                <w:sz w:val="16"/>
                <w:szCs w:val="16"/>
                <w:bdr w:val="none" w:color="auto" w:sz="0" w:space="0"/>
              </w:rPr>
              <w:t>7</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三、复试内容及方式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复试采用线上远程网络复试的方式，分为以下三个环节：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1. 外语能力测试考查方式：抽题回答和面试互动（5-10分钟）。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2. 专业基础知识考查方式：系统随机抽1套题回答（10-15分钟）。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3. 综合素质考核方式：面试互动回答（15-20分钟）。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四、调剂方法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1. 2023年全国硕士研究生招生“网上调剂意向采集系统”于3月31日开通，“调剂服务系统”将于4月6日开通。研招网全国调剂服务系统（https://yz.chsi.com.cn/yztj/）开通后，请考生登陆系统并按要求填报我校调剂志愿，不经调剂系统调剂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我校将于4月3日开通研招网调剂意向采集系统，符合调剂条件且有调剂意向的考生，可通过该系统填报调剂意向。调剂系统开通时间：2023年4月6日0:00至12:00，如有调剂不满的专业后续会再次开通，开通时间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2. 请考生近期关注我校研究生处网站上发布的有关复试通知，网址：</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"https://www.sdjzu.edu.cn/yjsc/%E3%80%82"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28"/>
          <w:szCs w:val="28"/>
          <w:u w:val="single"/>
          <w:bdr w:val="none" w:color="auto" w:sz="0" w:space="0"/>
        </w:rPr>
        <w:t>https://www.sdjzu.edu.cn/yjsc/。</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联系人：吕老师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联系电话：0531-86361617 15066651823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调剂复试QQ群名称：23年土木调剂复试群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调剂复试QQ群号码：719713119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606060"/>
          <w:sz w:val="28"/>
          <w:szCs w:val="28"/>
        </w:rPr>
      </w:pPr>
      <w:r>
        <w:rPr>
          <w:rFonts w:hint="eastAsia" w:ascii="微软雅黑" w:hAnsi="微软雅黑" w:eastAsia="微软雅黑" w:cs="微软雅黑"/>
          <w:i w:val="0"/>
          <w:iCs w:val="0"/>
          <w:caps w:val="0"/>
          <w:color w:val="606060"/>
          <w:spacing w:val="0"/>
          <w:sz w:val="28"/>
          <w:szCs w:val="28"/>
          <w:bdr w:val="none" w:color="auto" w:sz="0" w:space="0"/>
        </w:rPr>
        <w:t>入群申请理由：学硕/非全+姓名（必须真实姓名）+初试分数</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7953D90"/>
    <w:rsid w:val="27953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2023-04-13T09:32:00Z</dcterms:created>
  <dc:creator>晴天</dc:creator>
  <cp:lastModifiedBy>晴天</cp:lastModifiedBy>
  <dcterms:modified xsi:type="dcterms:W3CDTF">2023-04-13T09:32:45Z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CBD878ECFD204120BFECBFE7C6CC123A_11</vt:lpwstr>
  </property>
</Properties>
</file>