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kern w:val="0"/>
          <w:sz w:val="26"/>
          <w:szCs w:val="26"/>
          <w:bdr w:val="none" w:color="auto" w:sz="0" w:space="0"/>
          <w:lang w:val="en-US" w:eastAsia="zh-CN" w:bidi="ar"/>
        </w:rPr>
        <w:t>2023年硕士招生拟接收调剂专业（领域）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日期： 2023-04-05   来源：    浏览量： 15359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FFFF"/>
          <w:kern w:val="0"/>
          <w:sz w:val="20"/>
          <w:szCs w:val="20"/>
          <w:u w:val="none"/>
          <w:shd w:val="clear" w:fill="999999"/>
          <w:lang w:val="en-US" w:eastAsia="zh-CN" w:bidi="ar"/>
        </w:rPr>
        <w:t>-+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16"/>
          <w:szCs w:val="16"/>
          <w:bdr w:val="none" w:color="auto" w:sz="0" w:space="0"/>
        </w:rPr>
        <w:t>      因我校一志愿考生复试（校内调剂）尚未结束，各专业缺额仅供参考。学校可根据申请调剂考生生源情况对招生计划进行调整。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rFonts w:hint="eastAsia" w:ascii="微软雅黑" w:hAnsi="微软雅黑" w:eastAsia="微软雅黑" w:cs="微软雅黑"/>
        </w:rPr>
      </w:pPr>
    </w:p>
    <w:tbl>
      <w:tblPr>
        <w:tblW w:w="69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1"/>
        <w:gridCol w:w="692"/>
        <w:gridCol w:w="2036"/>
        <w:gridCol w:w="692"/>
        <w:gridCol w:w="1324"/>
        <w:gridCol w:w="692"/>
        <w:gridCol w:w="9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学位类型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方向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拟接收调剂计划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法医学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100106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放射医学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1001Z1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医学生理学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1001Z2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医学生物化学与分子生物学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01心血管内科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02消化内科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03内分泌学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04呼吸内科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05肾内科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06血液病的基础与临床研究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100204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100205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精神病与精神卫生学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100206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1骨外科学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AE02AF7"/>
    <w:rsid w:val="4AE0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2023-04-11T08:30:00Z</dcterms:created>
  <dc:creator>晴天</dc:creator>
  <cp:lastModifiedBy>晴天</cp:lastModifiedBy>
  <dcterms:modified xsi:type="dcterms:W3CDTF">2023-04-11T08:31:29Z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51A584A3EE9F4AB7BD4CAB9D28BC521D_11</vt:lpwstr>
  </property>
</Properties>
</file>