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pBdr>
        <w:shd w:val="clear" w:fill="FFFFFF"/>
        <w:spacing w:before="0" w:beforeAutospacing="0" w:after="0" w:afterAutospacing="0" w:line="500" w:lineRule="atLeast"/>
        <w:ind w:left="0" w:right="0" w:firstLine="0"/>
        <w:jc w:val="center"/>
        <w:rPr>
          <w:rFonts w:hint="eastAsia" w:ascii="微软雅黑" w:hAnsi="微软雅黑" w:eastAsia="微软雅黑" w:cs="微软雅黑"/>
          <w:i w:val="0"/>
          <w:iCs w:val="0"/>
          <w:caps w:val="0"/>
          <w:color w:val="999999"/>
          <w:spacing w:val="0"/>
          <w:sz w:val="20"/>
          <w:szCs w:val="20"/>
        </w:rPr>
      </w:pPr>
      <w:r>
        <w:rPr>
          <w:rFonts w:hint="eastAsia" w:ascii="微软雅黑" w:hAnsi="微软雅黑" w:eastAsia="微软雅黑" w:cs="微软雅黑"/>
          <w:i w:val="0"/>
          <w:iCs w:val="0"/>
          <w:caps w:val="0"/>
          <w:color w:val="999999"/>
          <w:spacing w:val="0"/>
          <w:kern w:val="0"/>
          <w:sz w:val="20"/>
          <w:szCs w:val="20"/>
          <w:shd w:val="clear" w:fill="FFFFFF"/>
          <w:lang w:val="en-US" w:eastAsia="zh-CN" w:bidi="ar"/>
        </w:rPr>
        <w:t>山东财经大学艺术学院2023年硕士研究生招生预调剂公告</w:t>
      </w:r>
    </w:p>
    <w:p>
      <w:pPr>
        <w:keepNext w:val="0"/>
        <w:keepLines w:val="0"/>
        <w:widowControl/>
        <w:suppressLineNumbers w:val="0"/>
        <w:shd w:val="clear" w:fill="FFFFFF"/>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CCCCCC"/>
          <w:spacing w:val="0"/>
          <w:sz w:val="14"/>
          <w:szCs w:val="14"/>
        </w:rPr>
      </w:pPr>
      <w:r>
        <w:rPr>
          <w:rFonts w:hint="eastAsia" w:ascii="微软雅黑" w:hAnsi="微软雅黑" w:eastAsia="微软雅黑" w:cs="微软雅黑"/>
          <w:i w:val="0"/>
          <w:iCs w:val="0"/>
          <w:caps w:val="0"/>
          <w:color w:val="CCCCCC"/>
          <w:spacing w:val="0"/>
          <w:kern w:val="0"/>
          <w:sz w:val="14"/>
          <w:szCs w:val="14"/>
          <w:shd w:val="clear" w:fill="FFFFFF"/>
          <w:lang w:val="en-US" w:eastAsia="zh-CN" w:bidi="ar"/>
        </w:rPr>
        <w:t>2023-03-18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jc w:val="both"/>
        <w:rPr>
          <w:rFonts w:ascii="Calibri" w:hAnsi="Calibri" w:eastAsia="Calibri" w:cs="Calibri"/>
          <w:sz w:val="27"/>
          <w:szCs w:val="27"/>
        </w:rPr>
      </w:pPr>
      <w:r>
        <w:rPr>
          <w:rStyle w:val="5"/>
          <w:rFonts w:hint="eastAsia" w:ascii="微软雅黑" w:hAnsi="微软雅黑" w:eastAsia="微软雅黑" w:cs="微软雅黑"/>
          <w:i w:val="0"/>
          <w:iCs w:val="0"/>
          <w:caps w:val="0"/>
          <w:color w:val="999999"/>
          <w:spacing w:val="0"/>
          <w:sz w:val="16"/>
          <w:szCs w:val="16"/>
          <w:bdr w:val="none" w:color="auto" w:sz="0" w:space="0"/>
          <w:shd w:val="clear" w:fill="FFFFFF"/>
        </w:rPr>
        <w:t>一、学院简介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2011年，艺术学院由原山东经济学院文学与艺术学院和原山东财政学院人文艺术学院的艺术学科整合而成。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学院依托我校经管类学科优势，秉承“求其真，明以德，游于艺”的院训，坚持艺术与财经相结合的办学理念，立足于社会需求和新形势特色专业发展的要求，努力探索“艺术+财经”的专业品牌和人才培养模式。美术学、数字媒体艺术、视觉传达设计三个专业均获评省级一流本科专业。目前招收研究生的美术学专业，下设艺术品投资与鉴定、艺术金融两个专业方向，是省内乃至全国“新财经”“新文科”领域的特色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学院现有教职工50人，其中专任教师40人，二级教授2人，三级教授1人，教授7名，兼职教授、客座教授6名，副教授17名，博士19（含在读博士）名。聘任省内外行业专家20余人。师资队伍中，入选国社科艺术类项目评审专家1人，中国书法家协会理事、西泠印社理事1人，全国书法篆刻展评委1人，享受国务院政府特殊津贴专家1人，齐鲁文化名家1人，山东美术馆馆聘艺术家2人。近年来，学院获批国家社科基金重点项目、国家艺术基金项目3项。获批山东省社科规划项目、软科学项目近20项。学院拥有独立院址，在国内外建立教学实践基地10余个，拥有良好的教学、科研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20" w:lineRule="atLeast"/>
        <w:ind w:left="0" w:right="0"/>
        <w:jc w:val="both"/>
      </w:pPr>
      <w:r>
        <w:rPr>
          <w:rFonts w:hint="eastAsia" w:ascii="微软雅黑" w:hAnsi="微软雅黑" w:eastAsia="微软雅黑" w:cs="微软雅黑"/>
          <w:b/>
          <w:bCs/>
          <w:i w:val="0"/>
          <w:iCs w:val="0"/>
          <w:caps w:val="0"/>
          <w:color w:val="999999"/>
          <w:spacing w:val="0"/>
          <w:sz w:val="16"/>
          <w:szCs w:val="16"/>
          <w:bdr w:val="none" w:color="auto" w:sz="0" w:space="0"/>
          <w:shd w:val="clear" w:fill="FFFFFF"/>
        </w:rPr>
        <w:t>二、</w:t>
      </w:r>
      <w:r>
        <w:rPr>
          <w:rStyle w:val="5"/>
          <w:rFonts w:hint="eastAsia" w:ascii="微软雅黑" w:hAnsi="微软雅黑" w:eastAsia="微软雅黑" w:cs="微软雅黑"/>
          <w:i w:val="0"/>
          <w:iCs w:val="0"/>
          <w:caps w:val="0"/>
          <w:color w:val="999999"/>
          <w:spacing w:val="0"/>
          <w:sz w:val="16"/>
          <w:szCs w:val="16"/>
          <w:bdr w:val="none" w:color="auto" w:sz="0" w:space="0"/>
          <w:shd w:val="clear" w:fill="FFFFFF"/>
        </w:rPr>
        <w:t>预调剂信息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jc w:val="both"/>
        <w:rPr>
          <w:rFonts w:hint="default" w:ascii="Calibri" w:hAnsi="Calibri" w:eastAsia="Calibri" w:cs="Calibri"/>
          <w:sz w:val="27"/>
          <w:szCs w:val="27"/>
        </w:rPr>
      </w:pPr>
      <w:r>
        <w:rPr>
          <w:rStyle w:val="5"/>
          <w:rFonts w:hint="eastAsia" w:ascii="微软雅黑" w:hAnsi="微软雅黑" w:eastAsia="微软雅黑" w:cs="微软雅黑"/>
          <w:i w:val="0"/>
          <w:iCs w:val="0"/>
          <w:caps w:val="0"/>
          <w:color w:val="999999"/>
          <w:spacing w:val="0"/>
          <w:sz w:val="16"/>
          <w:szCs w:val="16"/>
          <w:bdr w:val="none" w:color="auto" w:sz="0" w:space="0"/>
          <w:shd w:val="clear" w:fill="FFFFFF"/>
        </w:rPr>
        <w:t>（一）拟接收调剂专业</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80"/>
        <w:gridCol w:w="713"/>
        <w:gridCol w:w="730"/>
        <w:gridCol w:w="1350"/>
        <w:gridCol w:w="19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tblCellSpacing w:w="0" w:type="dxa"/>
        </w:trPr>
        <w:tc>
          <w:tcPr>
            <w:tcW w:w="5610" w:type="dxa"/>
            <w:gridSpan w:val="5"/>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山东财经大学艺术学院2023年硕士研究生招生专业方向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10" w:hRule="atLeast"/>
          <w:tblCellSpacing w:w="0" w:type="dxa"/>
        </w:trPr>
        <w:tc>
          <w:tcPr>
            <w:tcW w:w="8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院系所名称</w:t>
            </w:r>
          </w:p>
        </w:tc>
        <w:tc>
          <w:tcPr>
            <w:tcW w:w="71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专业代码</w:t>
            </w:r>
          </w:p>
        </w:tc>
        <w:tc>
          <w:tcPr>
            <w:tcW w:w="73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专业名称</w:t>
            </w:r>
          </w:p>
        </w:tc>
        <w:tc>
          <w:tcPr>
            <w:tcW w:w="135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研究方向名称</w:t>
            </w:r>
          </w:p>
        </w:tc>
        <w:tc>
          <w:tcPr>
            <w:tcW w:w="193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专业类型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40" w:hRule="atLeast"/>
          <w:tblCellSpacing w:w="0" w:type="dxa"/>
        </w:trPr>
        <w:tc>
          <w:tcPr>
            <w:tcW w:w="8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艺术学院</w:t>
            </w:r>
          </w:p>
        </w:tc>
        <w:tc>
          <w:tcPr>
            <w:tcW w:w="71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135107</w:t>
            </w:r>
          </w:p>
        </w:tc>
        <w:tc>
          <w:tcPr>
            <w:tcW w:w="73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美术</w:t>
            </w:r>
          </w:p>
        </w:tc>
        <w:tc>
          <w:tcPr>
            <w:tcW w:w="135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书法篆刻</w:t>
            </w:r>
          </w:p>
        </w:tc>
        <w:tc>
          <w:tcPr>
            <w:tcW w:w="193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全日制专业学位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30" w:hRule="atLeast"/>
          <w:tblCellSpacing w:w="0" w:type="dxa"/>
        </w:trPr>
        <w:tc>
          <w:tcPr>
            <w:tcW w:w="8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艺术学院</w:t>
            </w:r>
          </w:p>
        </w:tc>
        <w:tc>
          <w:tcPr>
            <w:tcW w:w="71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135107</w:t>
            </w:r>
          </w:p>
        </w:tc>
        <w:tc>
          <w:tcPr>
            <w:tcW w:w="73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美术</w:t>
            </w:r>
          </w:p>
        </w:tc>
        <w:tc>
          <w:tcPr>
            <w:tcW w:w="135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中国画</w:t>
            </w:r>
          </w:p>
        </w:tc>
        <w:tc>
          <w:tcPr>
            <w:tcW w:w="193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全日制专业学位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50" w:hRule="atLeast"/>
          <w:tblCellSpacing w:w="0" w:type="dxa"/>
        </w:trPr>
        <w:tc>
          <w:tcPr>
            <w:tcW w:w="8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艺术学院</w:t>
            </w:r>
          </w:p>
        </w:tc>
        <w:tc>
          <w:tcPr>
            <w:tcW w:w="71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135107</w:t>
            </w:r>
          </w:p>
        </w:tc>
        <w:tc>
          <w:tcPr>
            <w:tcW w:w="73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美术</w:t>
            </w:r>
          </w:p>
        </w:tc>
        <w:tc>
          <w:tcPr>
            <w:tcW w:w="135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书画艺术品投资与鉴定</w:t>
            </w:r>
          </w:p>
        </w:tc>
        <w:tc>
          <w:tcPr>
            <w:tcW w:w="1930" w:type="dxa"/>
            <w:tcBorders>
              <w:top w:val="nil"/>
              <w:left w:val="nil"/>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eastAsia="Calibri" w:cs="Calibri"/>
                <w:sz w:val="16"/>
                <w:szCs w:val="16"/>
              </w:rPr>
            </w:pPr>
            <w:r>
              <w:rPr>
                <w:rFonts w:hint="eastAsia" w:ascii="微软雅黑" w:hAnsi="微软雅黑" w:eastAsia="微软雅黑" w:cs="微软雅黑"/>
                <w:sz w:val="16"/>
                <w:szCs w:val="16"/>
                <w:bdr w:val="none" w:color="auto" w:sz="0" w:space="0"/>
                <w:shd w:val="clear" w:fill="FFFFFF"/>
              </w:rPr>
              <w:t>全日制专业学位</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72" w:beforeAutospacing="0" w:after="70" w:afterAutospacing="0" w:line="480" w:lineRule="atLeast"/>
        <w:ind w:left="0" w:right="0" w:firstLine="32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目前，艺术专业硕士研究生中，01书法篆刻、02中国画，仍有部分空缺名额接收调剂，欢迎广大考生咨询并提交调剂申请。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72" w:beforeAutospacing="0" w:after="70" w:afterAutospacing="0" w:line="480" w:lineRule="atLeast"/>
        <w:ind w:left="0" w:right="0" w:firstLine="32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正式调剂工作须待“全国硕士研究生招生调剂服务系统”开通，完成网上调剂信息后方可生效，请有意向调剂者随时关注上述网站。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72" w:beforeAutospacing="0" w:after="70" w:afterAutospacing="0" w:line="480" w:lineRule="atLeast"/>
        <w:ind w:left="0" w:right="0" w:firstLine="32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请登录山东财经大学研究生招生信息网(http://yjszs.sdufe.edu.cn/index.htm)和艺术学院官方网站（https://art.sdufe.edu.cn/），及时关注我院复试工作安排及最新调剂信息。请预调剂我院考生把个人简介（附一志愿成绩）、高清代表作品打包发送至邮箱：492057530@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72" w:beforeAutospacing="0" w:after="70" w:afterAutospacing="0" w:line="480" w:lineRule="atLeast"/>
        <w:ind w:left="0" w:right="0" w:firstLine="32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联系人：黄老师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72" w:beforeAutospacing="0" w:after="70" w:afterAutospacing="0" w:line="480" w:lineRule="atLeast"/>
        <w:ind w:left="0" w:right="0" w:firstLine="32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咨询电话：15168825776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jc w:val="left"/>
        <w:rPr>
          <w:rFonts w:hint="default" w:ascii="Calibri" w:hAnsi="Calibri" w:eastAsia="Calibri" w:cs="Calibri"/>
          <w:sz w:val="27"/>
          <w:szCs w:val="27"/>
        </w:rPr>
      </w:pPr>
      <w:r>
        <w:rPr>
          <w:rStyle w:val="5"/>
          <w:rFonts w:hint="eastAsia" w:ascii="微软雅黑" w:hAnsi="微软雅黑" w:eastAsia="微软雅黑" w:cs="微软雅黑"/>
          <w:i w:val="0"/>
          <w:iCs w:val="0"/>
          <w:caps w:val="0"/>
          <w:color w:val="999999"/>
          <w:spacing w:val="0"/>
          <w:sz w:val="16"/>
          <w:szCs w:val="16"/>
          <w:bdr w:val="none" w:color="auto" w:sz="0" w:space="0"/>
          <w:shd w:val="clear" w:fill="FFFFFF"/>
        </w:rPr>
        <w:t>（二）调剂原则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1．考生初试成绩应达到2023年教育部统一规定的A区复试分数线。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2．调入专业与一志愿报考专业方向相同或相近，应在同一学科门类范围内。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3．初试科目与调入专业初试科目相同或相近，其中初试全国统一命题科目应与调入专业全国统一命题科目相同。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4．全国统一命题科目为英语、数学的专业可由高向低调剂，不能逆向调剂，例如初试统考英语一专业可向统考英语二专业调剂，反之不能调剂。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5．初试成绩要同时符合一志愿和调入专业的全国初试成绩基本要求，并达到学院设定的总分和单科调剂复试线，具体设定办法由学院确定，并报研究生院（研究生招生办公室）审核备案。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6．符合学院其他有关要求。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jc w:val="left"/>
        <w:rPr>
          <w:rFonts w:hint="default" w:ascii="Calibri" w:hAnsi="Calibri" w:eastAsia="Calibri" w:cs="Calibri"/>
          <w:sz w:val="27"/>
          <w:szCs w:val="27"/>
        </w:rPr>
      </w:pPr>
      <w:r>
        <w:rPr>
          <w:rStyle w:val="5"/>
          <w:rFonts w:hint="eastAsia" w:ascii="微软雅黑" w:hAnsi="微软雅黑" w:eastAsia="微软雅黑" w:cs="微软雅黑"/>
          <w:i w:val="0"/>
          <w:iCs w:val="0"/>
          <w:caps w:val="0"/>
          <w:color w:val="999999"/>
          <w:spacing w:val="0"/>
          <w:sz w:val="16"/>
          <w:szCs w:val="16"/>
          <w:bdr w:val="none" w:color="auto" w:sz="0" w:space="0"/>
          <w:shd w:val="clear" w:fill="FFFFFF"/>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1.调剂考生必须登陆“中国研究生招生信息网”(http://yz.chsi.com.cn)的硕士研究生调剂服务系统，凭考生网上报名时的用户名和密码登陆并选择我校作为第一志愿调剂单位进行调剂登记，我校最终以该网站上的相关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2. 考生按调剂复试通知要求，按时到我校参加复试。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3. 预调剂程序如果和教育部2023年调剂政策相冲突，以教育部的文件规定为准。注意：所有申请调剂考生都必须先在中国研究生招生信息网(http://yz.chsi.com.cn)上提交调剂志愿并确认回复，否则调剂无法完成。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line="480" w:lineRule="atLeast"/>
        <w:ind w:left="0" w:right="0" w:firstLine="280"/>
        <w:jc w:val="left"/>
        <w:rPr>
          <w:rFonts w:hint="default" w:ascii="Calibri" w:hAnsi="Calibri" w:eastAsia="Calibri" w:cs="Calibri"/>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480" w:lineRule="atLeast"/>
        <w:ind w:left="0" w:right="0" w:firstLine="280"/>
        <w:jc w:val="righ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                                          山东财经大学艺术学院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0" w:afterAutospacing="0" w:line="480" w:lineRule="atLeast"/>
        <w:ind w:left="0" w:right="0" w:firstLine="3840"/>
        <w:jc w:val="right"/>
        <w:rPr>
          <w:rFonts w:hint="default" w:ascii="Calibri" w:hAnsi="Calibri" w:eastAsia="Calibri" w:cs="Calibri"/>
          <w:sz w:val="27"/>
          <w:szCs w:val="27"/>
        </w:rPr>
      </w:pPr>
      <w:r>
        <w:rPr>
          <w:rFonts w:hint="eastAsia" w:ascii="微软雅黑" w:hAnsi="微软雅黑" w:eastAsia="微软雅黑" w:cs="微软雅黑"/>
          <w:i w:val="0"/>
          <w:iCs w:val="0"/>
          <w:caps w:val="0"/>
          <w:color w:val="999999"/>
          <w:spacing w:val="0"/>
          <w:sz w:val="16"/>
          <w:szCs w:val="16"/>
          <w:bdr w:val="none" w:color="auto" w:sz="0" w:space="0"/>
          <w:shd w:val="clear" w:fill="FFFFFF"/>
        </w:rPr>
        <w:t>2023年3月17日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F7B4241"/>
    <w:rsid w:val="3F7B4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2023-04-14T06:07:00Z</dcterms:created>
  <dc:creator>晴天</dc:creator>
  <cp:lastModifiedBy>晴天</cp:lastModifiedBy>
  <dcterms:modified xsi:type="dcterms:W3CDTF">2023-04-14T06:08:50Z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F53B879CBB0540D292658413BEFBA63D_11</vt:lpwstr>
  </property>
</Properties>
</file>