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606"/>
      </w:tblGrid>
      <w:tr w:rsidR="00284C69" w:rsidRPr="00284C69" w:rsidTr="00284C69">
        <w:trPr>
          <w:trHeight w:val="1230"/>
          <w:tblCellSpacing w:w="0" w:type="dxa"/>
        </w:trPr>
        <w:tc>
          <w:tcPr>
            <w:tcW w:w="0" w:type="auto"/>
            <w:shd w:val="clear" w:color="auto" w:fill="FFFFFF"/>
            <w:tcMar>
              <w:top w:w="150" w:type="dxa"/>
              <w:left w:w="150" w:type="dxa"/>
              <w:bottom w:w="150" w:type="dxa"/>
              <w:right w:w="150" w:type="dxa"/>
            </w:tcMar>
            <w:vAlign w:val="center"/>
            <w:hideMark/>
          </w:tcPr>
          <w:p w:rsidR="00284C69" w:rsidRPr="00284C69" w:rsidRDefault="00284C69" w:rsidP="00284C69">
            <w:pPr>
              <w:widowControl/>
              <w:spacing w:line="280" w:lineRule="atLeast"/>
              <w:jc w:val="left"/>
              <w:rPr>
                <w:rFonts w:ascii="微软雅黑" w:eastAsia="微软雅黑" w:hAnsi="微软雅黑" w:cs="宋体"/>
                <w:color w:val="333333"/>
                <w:kern w:val="0"/>
                <w:sz w:val="18"/>
                <w:szCs w:val="18"/>
              </w:rPr>
            </w:pPr>
          </w:p>
        </w:tc>
      </w:tr>
      <w:tr w:rsidR="00284C69" w:rsidRPr="00284C69" w:rsidTr="00284C69">
        <w:trPr>
          <w:trHeight w:val="345"/>
          <w:tblCellSpacing w:w="0" w:type="dxa"/>
        </w:trPr>
        <w:tc>
          <w:tcPr>
            <w:tcW w:w="0" w:type="auto"/>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8606"/>
            </w:tblGrid>
            <w:tr w:rsidR="00284C69" w:rsidRPr="00284C69">
              <w:trPr>
                <w:tblCellSpacing w:w="0" w:type="dxa"/>
              </w:trPr>
              <w:tc>
                <w:tcPr>
                  <w:tcW w:w="4750" w:type="pct"/>
                  <w:vAlign w:val="center"/>
                  <w:hideMark/>
                </w:tcPr>
                <w:p w:rsidR="00284C69" w:rsidRPr="00284C69" w:rsidRDefault="00284C69" w:rsidP="00284C69">
                  <w:pPr>
                    <w:widowControl/>
                    <w:spacing w:line="280" w:lineRule="atLeast"/>
                    <w:jc w:val="center"/>
                    <w:rPr>
                      <w:rFonts w:ascii="����" w:eastAsia="宋体" w:hAnsi="����" w:cs="宋体"/>
                      <w:b/>
                      <w:bCs/>
                      <w:color w:val="FF0000"/>
                      <w:kern w:val="0"/>
                      <w:sz w:val="23"/>
                      <w:szCs w:val="23"/>
                    </w:rPr>
                  </w:pPr>
                  <w:r w:rsidRPr="00284C69">
                    <w:rPr>
                      <w:rFonts w:ascii="����" w:eastAsia="宋体" w:hAnsi="����" w:cs="宋体"/>
                      <w:b/>
                      <w:bCs/>
                      <w:color w:val="FF0000"/>
                      <w:kern w:val="0"/>
                      <w:sz w:val="23"/>
                      <w:szCs w:val="23"/>
                    </w:rPr>
                    <w:t>分子科学研究所</w:t>
                  </w:r>
                  <w:r w:rsidRPr="00284C69">
                    <w:rPr>
                      <w:rFonts w:ascii="����" w:eastAsia="宋体" w:hAnsi="����" w:cs="宋体"/>
                      <w:b/>
                      <w:bCs/>
                      <w:color w:val="FF0000"/>
                      <w:kern w:val="0"/>
                      <w:sz w:val="23"/>
                      <w:szCs w:val="23"/>
                    </w:rPr>
                    <w:t>2023</w:t>
                  </w:r>
                  <w:r w:rsidRPr="00284C69">
                    <w:rPr>
                      <w:rFonts w:ascii="����" w:eastAsia="宋体" w:hAnsi="����" w:cs="宋体"/>
                      <w:b/>
                      <w:bCs/>
                      <w:color w:val="FF0000"/>
                      <w:kern w:val="0"/>
                      <w:sz w:val="23"/>
                      <w:szCs w:val="23"/>
                    </w:rPr>
                    <w:t>年硕士研究生复试细则（调剂）</w:t>
                  </w:r>
                </w:p>
              </w:tc>
            </w:tr>
          </w:tbl>
          <w:p w:rsidR="00284C69" w:rsidRPr="00284C69" w:rsidRDefault="00284C69" w:rsidP="00284C69">
            <w:pPr>
              <w:widowControl/>
              <w:spacing w:line="280" w:lineRule="atLeast"/>
              <w:jc w:val="left"/>
              <w:rPr>
                <w:rFonts w:ascii="微软雅黑" w:eastAsia="微软雅黑" w:hAnsi="微软雅黑" w:cs="宋体"/>
                <w:color w:val="333333"/>
                <w:kern w:val="0"/>
                <w:sz w:val="18"/>
                <w:szCs w:val="18"/>
              </w:rPr>
            </w:pPr>
          </w:p>
        </w:tc>
      </w:tr>
      <w:tr w:rsidR="00284C69" w:rsidRPr="00284C69" w:rsidTr="00284C69">
        <w:trPr>
          <w:trHeight w:val="15"/>
          <w:tblCellSpacing w:w="0" w:type="dxa"/>
        </w:trPr>
        <w:tc>
          <w:tcPr>
            <w:tcW w:w="0" w:type="auto"/>
            <w:shd w:val="clear" w:color="auto" w:fill="97CAD7"/>
            <w:vAlign w:val="center"/>
            <w:hideMark/>
          </w:tcPr>
          <w:p w:rsidR="00284C69" w:rsidRPr="00284C69" w:rsidRDefault="00284C69" w:rsidP="00284C69">
            <w:pPr>
              <w:widowControl/>
              <w:spacing w:line="280" w:lineRule="atLeast"/>
              <w:jc w:val="left"/>
              <w:rPr>
                <w:rFonts w:ascii="微软雅黑" w:eastAsia="微软雅黑" w:hAnsi="微软雅黑" w:cs="宋体"/>
                <w:color w:val="333333"/>
                <w:kern w:val="0"/>
                <w:sz w:val="2"/>
                <w:szCs w:val="18"/>
              </w:rPr>
            </w:pPr>
          </w:p>
        </w:tc>
      </w:tr>
      <w:tr w:rsidR="00284C69" w:rsidRPr="00284C69" w:rsidTr="00284C69">
        <w:trPr>
          <w:trHeight w:val="345"/>
          <w:tblCellSpacing w:w="0" w:type="dxa"/>
        </w:trPr>
        <w:tc>
          <w:tcPr>
            <w:tcW w:w="0" w:type="auto"/>
            <w:shd w:val="clear" w:color="auto" w:fill="FFFFFF"/>
            <w:vAlign w:val="center"/>
            <w:hideMark/>
          </w:tcPr>
          <w:p w:rsidR="00284C69" w:rsidRPr="00284C69" w:rsidRDefault="00284C69" w:rsidP="00284C69">
            <w:pPr>
              <w:widowControl/>
              <w:spacing w:line="280" w:lineRule="atLeast"/>
              <w:jc w:val="right"/>
              <w:rPr>
                <w:rFonts w:ascii="微软雅黑" w:eastAsia="微软雅黑" w:hAnsi="微软雅黑" w:cs="宋体"/>
                <w:color w:val="333333"/>
                <w:kern w:val="0"/>
                <w:sz w:val="18"/>
                <w:szCs w:val="18"/>
              </w:rPr>
            </w:pPr>
            <w:r w:rsidRPr="00284C69">
              <w:rPr>
                <w:rFonts w:ascii="微软雅黑" w:eastAsia="微软雅黑" w:hAnsi="微软雅黑" w:cs="宋体" w:hint="eastAsia"/>
                <w:color w:val="333333"/>
                <w:kern w:val="0"/>
                <w:sz w:val="18"/>
                <w:szCs w:val="18"/>
              </w:rPr>
              <w:t>[ 发布日期：2023-04-06　 ] 【</w:t>
            </w:r>
            <w:hyperlink r:id="rId5" w:history="1">
              <w:r w:rsidRPr="00284C69">
                <w:rPr>
                  <w:rFonts w:ascii="微软雅黑" w:eastAsia="微软雅黑" w:hAnsi="微软雅黑" w:cs="宋体" w:hint="eastAsia"/>
                  <w:color w:val="0000FF"/>
                  <w:kern w:val="0"/>
                  <w:sz w:val="18"/>
                  <w:szCs w:val="18"/>
                </w:rPr>
                <w:t>返回</w:t>
              </w:r>
            </w:hyperlink>
            <w:r w:rsidRPr="00284C69">
              <w:rPr>
                <w:rFonts w:ascii="微软雅黑" w:eastAsia="微软雅黑" w:hAnsi="微软雅黑" w:cs="宋体" w:hint="eastAsia"/>
                <w:color w:val="333333"/>
                <w:kern w:val="0"/>
                <w:sz w:val="18"/>
                <w:szCs w:val="18"/>
              </w:rPr>
              <w:t>】</w:t>
            </w:r>
          </w:p>
        </w:tc>
      </w:tr>
      <w:tr w:rsidR="00284C69" w:rsidRPr="00284C69" w:rsidTr="00284C69">
        <w:trPr>
          <w:trHeight w:val="1230"/>
          <w:tblCellSpacing w:w="0" w:type="dxa"/>
        </w:trPr>
        <w:tc>
          <w:tcPr>
            <w:tcW w:w="0" w:type="auto"/>
            <w:shd w:val="clear" w:color="auto" w:fill="FFFFFF"/>
            <w:tcMar>
              <w:top w:w="150" w:type="dxa"/>
              <w:left w:w="150" w:type="dxa"/>
              <w:bottom w:w="150" w:type="dxa"/>
              <w:right w:w="150" w:type="dxa"/>
            </w:tcMar>
            <w:vAlign w:val="center"/>
            <w:hideMark/>
          </w:tcPr>
          <w:p w:rsidR="00284C69" w:rsidRPr="00284C69" w:rsidRDefault="00284C69" w:rsidP="00284C69">
            <w:pPr>
              <w:widowControl/>
              <w:spacing w:after="156" w:line="450" w:lineRule="atLeast"/>
              <w:rPr>
                <w:rFonts w:ascii="微软雅黑" w:eastAsia="微软雅黑" w:hAnsi="微软雅黑" w:cs="宋体" w:hint="eastAsia"/>
                <w:color w:val="333333"/>
                <w:kern w:val="0"/>
                <w:sz w:val="30"/>
                <w:szCs w:val="30"/>
              </w:rPr>
            </w:pPr>
            <w:r w:rsidRPr="00284C69">
              <w:rPr>
                <w:rFonts w:ascii="宋体" w:eastAsia="宋体" w:hAnsi="宋体" w:cs="宋体" w:hint="eastAsia"/>
                <w:color w:val="333333"/>
                <w:kern w:val="0"/>
                <w:sz w:val="24"/>
                <w:szCs w:val="24"/>
              </w:rPr>
              <w:t>  为切实做好山西大学分子科学研究所2023年硕士研究生招生复试录取工作，根据教育部办公厅和山西省招生考试管理中心的统一安排及《山西大学2023年硕士研究生复试录取办法》，分子科学研究所按照“全面考察，科学选拔，客观评价，以人为本，公平公正”的原则，特制定2023年硕士研究生复试细则如下：</w:t>
            </w:r>
          </w:p>
          <w:p w:rsidR="00284C69" w:rsidRPr="00284C69" w:rsidRDefault="00284C69" w:rsidP="00284C69">
            <w:pPr>
              <w:widowControl/>
              <w:spacing w:before="156" w:line="420" w:lineRule="atLeast"/>
              <w:rPr>
                <w:rFonts w:ascii="微软雅黑" w:eastAsia="微软雅黑" w:hAnsi="微软雅黑" w:cs="宋体" w:hint="eastAsia"/>
                <w:color w:val="333333"/>
                <w:kern w:val="0"/>
                <w:sz w:val="28"/>
                <w:szCs w:val="28"/>
              </w:rPr>
            </w:pPr>
            <w:r w:rsidRPr="00284C69">
              <w:rPr>
                <w:rFonts w:ascii="宋体" w:eastAsia="宋体" w:hAnsi="宋体" w:cs="宋体" w:hint="eastAsia"/>
                <w:b/>
                <w:bCs/>
                <w:color w:val="333333"/>
                <w:kern w:val="0"/>
                <w:sz w:val="28"/>
                <w:szCs w:val="28"/>
              </w:rPr>
              <w:t>关于复试，采取以下办法：</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b/>
                <w:bCs/>
                <w:color w:val="333333"/>
                <w:kern w:val="0"/>
                <w:sz w:val="24"/>
                <w:szCs w:val="24"/>
              </w:rPr>
              <w:t>一、复试形式</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山西大学分子科学研究所2023年硕士研究生复试采取现场复试方式。</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b/>
                <w:bCs/>
                <w:color w:val="333333"/>
                <w:kern w:val="0"/>
                <w:sz w:val="24"/>
                <w:szCs w:val="24"/>
              </w:rPr>
              <w:t>二、复试内容</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1．</w:t>
            </w:r>
            <w:r w:rsidRPr="00284C69">
              <w:rPr>
                <w:rFonts w:ascii="宋体" w:eastAsia="宋体" w:hAnsi="宋体" w:cs="宋体" w:hint="eastAsia"/>
                <w:b/>
                <w:bCs/>
                <w:color w:val="333333"/>
                <w:kern w:val="0"/>
                <w:sz w:val="24"/>
                <w:szCs w:val="24"/>
              </w:rPr>
              <w:t>专业基础能力测试（100 分）：</w:t>
            </w:r>
            <w:r w:rsidRPr="00284C69">
              <w:rPr>
                <w:rFonts w:ascii="宋体" w:eastAsia="宋体" w:hAnsi="宋体" w:cs="宋体" w:hint="eastAsia"/>
                <w:color w:val="333333"/>
                <w:kern w:val="0"/>
                <w:sz w:val="24"/>
                <w:szCs w:val="24"/>
              </w:rPr>
              <w:t>根据招生简章公布的复试科目设计考试试题，采用口述作答方式，考察考生的专业基础能力。</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2．</w:t>
            </w:r>
            <w:r w:rsidRPr="00284C69">
              <w:rPr>
                <w:rFonts w:ascii="宋体" w:eastAsia="宋体" w:hAnsi="宋体" w:cs="宋体" w:hint="eastAsia"/>
                <w:b/>
                <w:bCs/>
                <w:color w:val="333333"/>
                <w:kern w:val="0"/>
                <w:sz w:val="24"/>
                <w:szCs w:val="24"/>
              </w:rPr>
              <w:t>外国语听力及口语测试（100 分）：</w:t>
            </w:r>
            <w:r w:rsidRPr="00284C69">
              <w:rPr>
                <w:rFonts w:ascii="宋体" w:eastAsia="宋体" w:hAnsi="宋体" w:cs="宋体" w:hint="eastAsia"/>
                <w:color w:val="333333"/>
                <w:kern w:val="0"/>
                <w:sz w:val="24"/>
                <w:szCs w:val="24"/>
              </w:rPr>
              <w:t>采用口述作答方式，由</w:t>
            </w:r>
            <w:proofErr w:type="gramStart"/>
            <w:r w:rsidRPr="00284C69">
              <w:rPr>
                <w:rFonts w:ascii="宋体" w:eastAsia="宋体" w:hAnsi="宋体" w:cs="宋体" w:hint="eastAsia"/>
                <w:color w:val="333333"/>
                <w:kern w:val="0"/>
                <w:sz w:val="24"/>
                <w:szCs w:val="24"/>
              </w:rPr>
              <w:t>面试组</w:t>
            </w:r>
            <w:proofErr w:type="gramEnd"/>
            <w:r w:rsidRPr="00284C69">
              <w:rPr>
                <w:rFonts w:ascii="宋体" w:eastAsia="宋体" w:hAnsi="宋体" w:cs="宋体" w:hint="eastAsia"/>
                <w:color w:val="333333"/>
                <w:kern w:val="0"/>
                <w:sz w:val="24"/>
                <w:szCs w:val="24"/>
              </w:rPr>
              <w:t>成员考察考生的英语能力。</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3．</w:t>
            </w:r>
            <w:r w:rsidRPr="00284C69">
              <w:rPr>
                <w:rFonts w:ascii="宋体" w:eastAsia="宋体" w:hAnsi="宋体" w:cs="宋体" w:hint="eastAsia"/>
                <w:b/>
                <w:bCs/>
                <w:color w:val="333333"/>
                <w:kern w:val="0"/>
                <w:sz w:val="24"/>
                <w:szCs w:val="24"/>
              </w:rPr>
              <w:t>综合素质复试（100 分）：</w:t>
            </w:r>
            <w:r w:rsidRPr="00284C69">
              <w:rPr>
                <w:rFonts w:ascii="宋体" w:eastAsia="宋体" w:hAnsi="宋体" w:cs="宋体" w:hint="eastAsia"/>
                <w:color w:val="333333"/>
                <w:kern w:val="0"/>
                <w:sz w:val="24"/>
                <w:szCs w:val="24"/>
              </w:rPr>
              <w:t>参考大学阶段学习情况及成绩等全面考核考生对本学科（专业）理论知识和应用技能掌握程度，综合利用知识分析、解决问题的能力及发展潜力；利用所学理论发现、分析和解决问题的能力。根据大学期间的思想政治素质和道德品质、本学科（专业）以外的学习、科研、社会实践（学生工作、社团活动、志愿服务等）或实际工作表现等方面的情况、心理健康情况、表达能力对考生</w:t>
            </w:r>
            <w:proofErr w:type="gramStart"/>
            <w:r w:rsidRPr="00284C69">
              <w:rPr>
                <w:rFonts w:ascii="宋体" w:eastAsia="宋体" w:hAnsi="宋体" w:cs="宋体" w:hint="eastAsia"/>
                <w:color w:val="333333"/>
                <w:kern w:val="0"/>
                <w:sz w:val="24"/>
                <w:szCs w:val="24"/>
              </w:rPr>
              <w:t>进行思政评价</w:t>
            </w:r>
            <w:proofErr w:type="gramEnd"/>
            <w:r w:rsidRPr="00284C69">
              <w:rPr>
                <w:rFonts w:ascii="宋体" w:eastAsia="宋体" w:hAnsi="宋体" w:cs="宋体" w:hint="eastAsia"/>
                <w:color w:val="333333"/>
                <w:kern w:val="0"/>
                <w:sz w:val="24"/>
                <w:szCs w:val="24"/>
              </w:rPr>
              <w:t>。</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4．</w:t>
            </w:r>
            <w:r w:rsidRPr="00284C69">
              <w:rPr>
                <w:rFonts w:ascii="宋体" w:eastAsia="宋体" w:hAnsi="宋体" w:cs="宋体" w:hint="eastAsia"/>
                <w:b/>
                <w:bCs/>
                <w:color w:val="333333"/>
                <w:kern w:val="0"/>
                <w:sz w:val="24"/>
                <w:szCs w:val="24"/>
              </w:rPr>
              <w:t>跨专业考生加试</w:t>
            </w:r>
            <w:r w:rsidRPr="00284C69">
              <w:rPr>
                <w:rFonts w:ascii="宋体" w:eastAsia="宋体" w:hAnsi="宋体" w:cs="宋体" w:hint="eastAsia"/>
                <w:color w:val="333333"/>
                <w:kern w:val="0"/>
                <w:sz w:val="24"/>
                <w:szCs w:val="24"/>
              </w:rPr>
              <w:t>两门（每门课程分别 100 分），采用口述作答方式，加试成绩不计入总成绩。</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b/>
                <w:bCs/>
                <w:color w:val="333333"/>
                <w:kern w:val="0"/>
                <w:sz w:val="24"/>
                <w:szCs w:val="24"/>
              </w:rPr>
              <w:t>三、复试总成绩计算规则</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b/>
                <w:bCs/>
                <w:color w:val="333333"/>
                <w:kern w:val="0"/>
                <w:sz w:val="24"/>
                <w:szCs w:val="24"/>
              </w:rPr>
              <w:t>复试总成绩按百分制计算。</w:t>
            </w:r>
          </w:p>
          <w:p w:rsidR="00284C69" w:rsidRPr="00284C69" w:rsidRDefault="00284C69" w:rsidP="00284C69">
            <w:pPr>
              <w:widowControl/>
              <w:spacing w:line="360" w:lineRule="atLeast"/>
              <w:ind w:firstLine="480"/>
              <w:jc w:val="left"/>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专业基础能力测试、外国语听力及口语测试和综合素质的计算方法：面试评委评分去掉一个最高分和一个最低分后取平均分（保留小数点后两位）。按如下公式计算复试总成绩：</w:t>
            </w:r>
          </w:p>
          <w:p w:rsidR="00284C69" w:rsidRPr="00284C69" w:rsidRDefault="00284C69" w:rsidP="00284C69">
            <w:pPr>
              <w:widowControl/>
              <w:spacing w:line="360" w:lineRule="atLeast"/>
              <w:ind w:firstLine="480"/>
              <w:jc w:val="left"/>
              <w:rPr>
                <w:rFonts w:ascii="微软雅黑" w:eastAsia="微软雅黑" w:hAnsi="微软雅黑" w:cs="宋体" w:hint="eastAsia"/>
                <w:color w:val="333333"/>
                <w:kern w:val="0"/>
                <w:sz w:val="24"/>
                <w:szCs w:val="24"/>
              </w:rPr>
            </w:pPr>
            <w:r w:rsidRPr="00284C69">
              <w:rPr>
                <w:rFonts w:ascii="宋体" w:eastAsia="宋体" w:hAnsi="宋体" w:cs="宋体" w:hint="eastAsia"/>
                <w:b/>
                <w:bCs/>
                <w:color w:val="333333"/>
                <w:kern w:val="0"/>
                <w:sz w:val="24"/>
                <w:szCs w:val="24"/>
              </w:rPr>
              <w:t>复试总成绩=专业基础能力测试成绩×40% + 外国语听力、口语测试成绩×10% + 综合素质复试成绩×50%。</w:t>
            </w:r>
          </w:p>
          <w:p w:rsidR="00284C69" w:rsidRPr="00284C69" w:rsidRDefault="00284C69" w:rsidP="00284C69">
            <w:pPr>
              <w:widowControl/>
              <w:spacing w:line="360" w:lineRule="atLeast"/>
              <w:ind w:firstLine="480"/>
              <w:jc w:val="left"/>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成绩汇总完毕后，立即向学生公示。</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b/>
                <w:bCs/>
                <w:color w:val="333333"/>
                <w:kern w:val="0"/>
                <w:sz w:val="24"/>
                <w:szCs w:val="24"/>
              </w:rPr>
              <w:t>四、考生总成绩计算规则</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lastRenderedPageBreak/>
              <w:t>考生最后总成绩采取初试总成绩与复试总成绩进行加权的记分办法，具体记分办法如下：</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b/>
                <w:bCs/>
                <w:color w:val="333333"/>
                <w:kern w:val="0"/>
                <w:sz w:val="24"/>
                <w:szCs w:val="24"/>
              </w:rPr>
              <w:t>考生总成绩=初试总成绩/初试满分×100×60% + 复试总成绩×40%。</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b/>
                <w:bCs/>
                <w:color w:val="333333"/>
                <w:kern w:val="0"/>
                <w:sz w:val="24"/>
                <w:szCs w:val="24"/>
              </w:rPr>
              <w:t>五、考生录取依据</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初试和复试的总成绩汇总后，按总分从高到低依次排序，以此作为录取依据。</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b/>
                <w:bCs/>
                <w:color w:val="333333"/>
                <w:kern w:val="0"/>
                <w:sz w:val="24"/>
                <w:szCs w:val="24"/>
              </w:rPr>
              <w:t>六、复试时间、地点及调剂比例</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调剂考生按招生指标缺额的两倍左右参加复试。</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调剂考生的复试时间：4月9日上午8:00开始；</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复试地点：山西大学</w:t>
            </w:r>
            <w:proofErr w:type="gramStart"/>
            <w:r w:rsidRPr="00284C69">
              <w:rPr>
                <w:rFonts w:ascii="宋体" w:eastAsia="宋体" w:hAnsi="宋体" w:cs="宋体" w:hint="eastAsia"/>
                <w:color w:val="333333"/>
                <w:kern w:val="0"/>
                <w:sz w:val="24"/>
                <w:szCs w:val="24"/>
              </w:rPr>
              <w:t>坞</w:t>
            </w:r>
            <w:proofErr w:type="gramEnd"/>
            <w:r w:rsidRPr="00284C69">
              <w:rPr>
                <w:rFonts w:ascii="宋体" w:eastAsia="宋体" w:hAnsi="宋体" w:cs="宋体" w:hint="eastAsia"/>
                <w:color w:val="333333"/>
                <w:kern w:val="0"/>
                <w:sz w:val="24"/>
                <w:szCs w:val="24"/>
              </w:rPr>
              <w:t>城校区文科楼，无机化学专业</w:t>
            </w:r>
            <w:r w:rsidRPr="00284C69">
              <w:rPr>
                <w:rFonts w:ascii="Times New Roman" w:eastAsia="微软雅黑" w:hAnsi="Times New Roman" w:cs="Times New Roman"/>
                <w:color w:val="333333"/>
                <w:kern w:val="0"/>
                <w:sz w:val="24"/>
                <w:szCs w:val="24"/>
              </w:rPr>
              <w:t>A0211</w:t>
            </w:r>
            <w:r w:rsidRPr="00284C69">
              <w:rPr>
                <w:rFonts w:ascii="宋体" w:eastAsia="宋体" w:hAnsi="宋体" w:cs="宋体" w:hint="eastAsia"/>
                <w:color w:val="333333"/>
                <w:kern w:val="0"/>
                <w:sz w:val="24"/>
                <w:szCs w:val="24"/>
              </w:rPr>
              <w:t>，材料化学专业</w:t>
            </w:r>
            <w:r w:rsidRPr="00284C69">
              <w:rPr>
                <w:rFonts w:ascii="Times New Roman" w:eastAsia="微软雅黑" w:hAnsi="Times New Roman" w:cs="Times New Roman"/>
                <w:color w:val="333333"/>
                <w:kern w:val="0"/>
                <w:sz w:val="24"/>
                <w:szCs w:val="24"/>
              </w:rPr>
              <w:t>A0215</w:t>
            </w:r>
            <w:r w:rsidRPr="00284C69">
              <w:rPr>
                <w:rFonts w:ascii="宋体" w:eastAsia="宋体" w:hAnsi="宋体" w:cs="宋体" w:hint="eastAsia"/>
                <w:color w:val="333333"/>
                <w:kern w:val="0"/>
                <w:sz w:val="24"/>
                <w:szCs w:val="24"/>
              </w:rPr>
              <w:t>，材料工程专业</w:t>
            </w:r>
            <w:r w:rsidRPr="00284C69">
              <w:rPr>
                <w:rFonts w:ascii="Times New Roman" w:eastAsia="微软雅黑" w:hAnsi="Times New Roman" w:cs="Times New Roman"/>
                <w:color w:val="333333"/>
                <w:kern w:val="0"/>
                <w:sz w:val="24"/>
                <w:szCs w:val="24"/>
              </w:rPr>
              <w:t>A0207</w:t>
            </w:r>
            <w:r w:rsidRPr="00284C69">
              <w:rPr>
                <w:rFonts w:ascii="宋体" w:eastAsia="宋体" w:hAnsi="宋体" w:cs="宋体" w:hint="eastAsia"/>
                <w:color w:val="333333"/>
                <w:kern w:val="0"/>
                <w:sz w:val="24"/>
                <w:szCs w:val="24"/>
              </w:rPr>
              <w:t>。其中，无机化学和材料化学复试考生在</w:t>
            </w:r>
            <w:r w:rsidRPr="00284C69">
              <w:rPr>
                <w:rFonts w:ascii="Times New Roman" w:eastAsia="微软雅黑" w:hAnsi="Times New Roman" w:cs="Times New Roman"/>
                <w:color w:val="333333"/>
                <w:kern w:val="0"/>
                <w:sz w:val="24"/>
                <w:szCs w:val="24"/>
              </w:rPr>
              <w:t>A0210</w:t>
            </w:r>
            <w:r w:rsidRPr="00284C69">
              <w:rPr>
                <w:rFonts w:ascii="宋体" w:eastAsia="宋体" w:hAnsi="宋体" w:cs="宋体" w:hint="eastAsia"/>
                <w:color w:val="333333"/>
                <w:kern w:val="0"/>
                <w:sz w:val="24"/>
                <w:szCs w:val="24"/>
              </w:rPr>
              <w:t>教室候考，材料工程复试考生在</w:t>
            </w:r>
            <w:r w:rsidRPr="00284C69">
              <w:rPr>
                <w:rFonts w:ascii="Times New Roman" w:eastAsia="微软雅黑" w:hAnsi="Times New Roman" w:cs="Times New Roman"/>
                <w:color w:val="333333"/>
                <w:kern w:val="0"/>
                <w:sz w:val="24"/>
                <w:szCs w:val="24"/>
              </w:rPr>
              <w:t>A0206</w:t>
            </w:r>
            <w:r w:rsidRPr="00284C69">
              <w:rPr>
                <w:rFonts w:ascii="宋体" w:eastAsia="宋体" w:hAnsi="宋体" w:cs="宋体" w:hint="eastAsia"/>
                <w:color w:val="333333"/>
                <w:kern w:val="0"/>
                <w:sz w:val="24"/>
                <w:szCs w:val="24"/>
              </w:rPr>
              <w:t>教室侯考。详情见山西大学分子科学研究所网站公布的《山西大学分子科学研究所</w:t>
            </w:r>
            <w:r w:rsidRPr="00284C69">
              <w:rPr>
                <w:rFonts w:ascii="Times New Roman" w:eastAsia="微软雅黑" w:hAnsi="Times New Roman" w:cs="Times New Roman"/>
                <w:color w:val="333333"/>
                <w:kern w:val="0"/>
                <w:sz w:val="24"/>
                <w:szCs w:val="24"/>
              </w:rPr>
              <w:t>2023</w:t>
            </w:r>
            <w:r w:rsidRPr="00284C69">
              <w:rPr>
                <w:rFonts w:ascii="宋体" w:eastAsia="宋体" w:hAnsi="宋体" w:cs="宋体" w:hint="eastAsia"/>
                <w:color w:val="333333"/>
                <w:kern w:val="0"/>
                <w:sz w:val="24"/>
                <w:szCs w:val="24"/>
              </w:rPr>
              <w:t>年硕士研究生复试安排（调剂考生）》。</w:t>
            </w:r>
          </w:p>
          <w:p w:rsidR="00284C69" w:rsidRPr="00284C69" w:rsidRDefault="00284C69" w:rsidP="00284C69">
            <w:pPr>
              <w:widowControl/>
              <w:spacing w:line="360" w:lineRule="atLeast"/>
              <w:ind w:left="420"/>
              <w:rPr>
                <w:rFonts w:ascii="微软雅黑" w:eastAsia="微软雅黑" w:hAnsi="微软雅黑" w:cs="宋体" w:hint="eastAsia"/>
                <w:color w:val="333333"/>
                <w:kern w:val="0"/>
                <w:sz w:val="24"/>
                <w:szCs w:val="24"/>
              </w:rPr>
            </w:pPr>
            <w:r w:rsidRPr="00284C69">
              <w:rPr>
                <w:rFonts w:ascii="宋体" w:eastAsia="宋体" w:hAnsi="宋体" w:cs="宋体" w:hint="eastAsia"/>
                <w:b/>
                <w:bCs/>
                <w:color w:val="333333"/>
                <w:kern w:val="0"/>
                <w:sz w:val="24"/>
                <w:szCs w:val="24"/>
              </w:rPr>
              <w:t>七、复试程序安排</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1．复试考生于4月8日下午3:00-6:30在山西大学</w:t>
            </w:r>
            <w:proofErr w:type="gramStart"/>
            <w:r w:rsidRPr="00284C69">
              <w:rPr>
                <w:rFonts w:ascii="宋体" w:eastAsia="宋体" w:hAnsi="宋体" w:cs="宋体" w:hint="eastAsia"/>
                <w:color w:val="333333"/>
                <w:kern w:val="0"/>
                <w:sz w:val="24"/>
                <w:szCs w:val="24"/>
              </w:rPr>
              <w:t>坞</w:t>
            </w:r>
            <w:proofErr w:type="gramEnd"/>
            <w:r w:rsidRPr="00284C69">
              <w:rPr>
                <w:rFonts w:ascii="宋体" w:eastAsia="宋体" w:hAnsi="宋体" w:cs="宋体" w:hint="eastAsia"/>
                <w:color w:val="333333"/>
                <w:kern w:val="0"/>
                <w:sz w:val="24"/>
                <w:szCs w:val="24"/>
              </w:rPr>
              <w:t>城校区科技楼713-2报到,进行资格审查。考生复试前，需按照</w:t>
            </w:r>
            <w:proofErr w:type="gramStart"/>
            <w:r w:rsidRPr="00284C69">
              <w:rPr>
                <w:rFonts w:ascii="宋体" w:eastAsia="宋体" w:hAnsi="宋体" w:cs="宋体" w:hint="eastAsia"/>
                <w:color w:val="333333"/>
                <w:kern w:val="0"/>
                <w:sz w:val="24"/>
                <w:szCs w:val="24"/>
              </w:rPr>
              <w:t>研招网</w:t>
            </w:r>
            <w:proofErr w:type="gramEnd"/>
            <w:r w:rsidRPr="00284C69">
              <w:rPr>
                <w:rFonts w:ascii="宋体" w:eastAsia="宋体" w:hAnsi="宋体" w:cs="宋体" w:hint="eastAsia"/>
                <w:color w:val="333333"/>
                <w:kern w:val="0"/>
                <w:sz w:val="24"/>
                <w:szCs w:val="24"/>
              </w:rPr>
              <w:t>公布的文件要求提供相关证明材料：①《山西大学2023年硕士研究生诚信复试承诺书》（仔细阅读并签字确认）；②《2023年山西大学硕士研究生思想政治素质和品德考核表》（签字盖章有效）；③初试准考证（可在中国研究生招生信息网下载）；④本人有效身份证件（正反面同页）；⑤应届毕业生提供《教育部学籍在线验证报告》（有效期至少延长至2023年7月）；往届生提供毕业证、学位证和《教育部学历证书电子注册备案表》（有效期至少延长至2023年7月））、国（境）外学历考生须提交教育部留学服务中心出具的国外学历学位认证报告；⑥前置学历学习成绩单（加盖公章）；⑦外语水平等级证书（外语</w:t>
            </w:r>
            <w:proofErr w:type="gramStart"/>
            <w:r w:rsidRPr="00284C69">
              <w:rPr>
                <w:rFonts w:ascii="宋体" w:eastAsia="宋体" w:hAnsi="宋体" w:cs="宋体" w:hint="eastAsia"/>
                <w:color w:val="333333"/>
                <w:kern w:val="0"/>
                <w:sz w:val="24"/>
                <w:szCs w:val="24"/>
              </w:rPr>
              <w:t>四六</w:t>
            </w:r>
            <w:proofErr w:type="gramEnd"/>
            <w:r w:rsidRPr="00284C69">
              <w:rPr>
                <w:rFonts w:ascii="宋体" w:eastAsia="宋体" w:hAnsi="宋体" w:cs="宋体" w:hint="eastAsia"/>
                <w:color w:val="333333"/>
                <w:kern w:val="0"/>
                <w:sz w:val="24"/>
                <w:szCs w:val="24"/>
              </w:rPr>
              <w:t>级或其它等级证书）、本科毕业论文摘要或进展报告、科研成果、获奖情况等材料（此项为补充材料）；⑧考试缴费成功界面截图。对不符合招生报名规定的，不予复试。</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2．复试时，采取“人脸识别”、“人证识别”、“与报考库比对”、“与学籍学历库比对”等方式，加强对考生身份的审查核验，严防复试“替.考”。</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3．采用现场复试评分方式，复试小组成员现场独立评分，复试总成绩见第三条。</w:t>
            </w:r>
          </w:p>
          <w:p w:rsidR="00284C69" w:rsidRPr="00284C69" w:rsidRDefault="00284C69" w:rsidP="00284C69">
            <w:pPr>
              <w:widowControl/>
              <w:spacing w:line="360" w:lineRule="atLeast"/>
              <w:ind w:left="420"/>
              <w:rPr>
                <w:rFonts w:ascii="微软雅黑" w:eastAsia="微软雅黑" w:hAnsi="微软雅黑" w:cs="宋体" w:hint="eastAsia"/>
                <w:color w:val="333333"/>
                <w:kern w:val="0"/>
                <w:sz w:val="24"/>
                <w:szCs w:val="24"/>
              </w:rPr>
            </w:pPr>
            <w:r w:rsidRPr="00284C69">
              <w:rPr>
                <w:rFonts w:ascii="宋体" w:eastAsia="宋体" w:hAnsi="宋体" w:cs="宋体" w:hint="eastAsia"/>
                <w:b/>
                <w:bCs/>
                <w:color w:val="333333"/>
                <w:kern w:val="0"/>
                <w:sz w:val="24"/>
                <w:szCs w:val="24"/>
              </w:rPr>
              <w:t>八、需要说明的情况</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① 思想政治素质和道德品质考核不作量化计入总成绩，但考核结果不合格者不予录取。</w:t>
            </w:r>
          </w:p>
          <w:p w:rsidR="00284C69" w:rsidRPr="00284C69" w:rsidRDefault="00284C69" w:rsidP="00284C69">
            <w:pPr>
              <w:widowControl/>
              <w:spacing w:line="360" w:lineRule="atLeast"/>
              <w:ind w:firstLine="480"/>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② 专业基础能力测试成绩低于60分、综合素质测试成绩低于60分、加试课程不合格者均不予录取。</w:t>
            </w:r>
          </w:p>
          <w:p w:rsidR="00284C69" w:rsidRPr="00284C69" w:rsidRDefault="00284C69" w:rsidP="00284C69">
            <w:pPr>
              <w:widowControl/>
              <w:spacing w:line="360" w:lineRule="atLeast"/>
              <w:ind w:firstLine="480"/>
              <w:jc w:val="right"/>
              <w:rPr>
                <w:rFonts w:ascii="微软雅黑" w:eastAsia="微软雅黑" w:hAnsi="微软雅黑" w:cs="宋体" w:hint="eastAsia"/>
                <w:color w:val="333333"/>
                <w:kern w:val="0"/>
                <w:sz w:val="24"/>
                <w:szCs w:val="24"/>
              </w:rPr>
            </w:pPr>
            <w:r w:rsidRPr="00284C69">
              <w:rPr>
                <w:rFonts w:ascii="宋体" w:eastAsia="宋体" w:hAnsi="宋体" w:cs="宋体" w:hint="eastAsia"/>
                <w:color w:val="333333"/>
                <w:kern w:val="0"/>
                <w:sz w:val="24"/>
                <w:szCs w:val="24"/>
              </w:rPr>
              <w:t>山西大学分子科学研究所</w:t>
            </w:r>
          </w:p>
          <w:p w:rsidR="00284C69" w:rsidRPr="00284C69" w:rsidRDefault="00284C69" w:rsidP="00284C69">
            <w:pPr>
              <w:widowControl/>
              <w:spacing w:line="360" w:lineRule="atLeast"/>
              <w:ind w:left="210" w:right="315" w:firstLine="240"/>
              <w:jc w:val="right"/>
              <w:rPr>
                <w:rFonts w:ascii="微软雅黑" w:eastAsia="微软雅黑" w:hAnsi="微软雅黑" w:cs="宋体"/>
                <w:color w:val="333333"/>
                <w:kern w:val="0"/>
                <w:sz w:val="24"/>
                <w:szCs w:val="24"/>
              </w:rPr>
            </w:pPr>
            <w:r w:rsidRPr="00284C69">
              <w:rPr>
                <w:rFonts w:ascii="宋体" w:eastAsia="宋体" w:hAnsi="宋体" w:cs="宋体" w:hint="eastAsia"/>
                <w:color w:val="333333"/>
                <w:kern w:val="0"/>
                <w:sz w:val="24"/>
                <w:szCs w:val="24"/>
              </w:rPr>
              <w:t>2023.4.6</w:t>
            </w:r>
          </w:p>
        </w:tc>
      </w:tr>
    </w:tbl>
    <w:p w:rsidR="0076342C" w:rsidRDefault="0076342C">
      <w:bookmarkStart w:id="0" w:name="_GoBack"/>
      <w:bookmarkEnd w:id="0"/>
    </w:p>
    <w:sectPr w:rsidR="0076342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5C5"/>
    <w:rsid w:val="00284C69"/>
    <w:rsid w:val="005745C5"/>
    <w:rsid w:val="00763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84C69"/>
    <w:rPr>
      <w:color w:val="0000FF"/>
      <w:u w:val="single"/>
    </w:rPr>
  </w:style>
  <w:style w:type="paragraph" w:styleId="a4">
    <w:name w:val="Normal (Web)"/>
    <w:basedOn w:val="a"/>
    <w:uiPriority w:val="99"/>
    <w:unhideWhenUsed/>
    <w:rsid w:val="00284C6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84C69"/>
    <w:rPr>
      <w:color w:val="0000FF"/>
      <w:u w:val="single"/>
    </w:rPr>
  </w:style>
  <w:style w:type="paragraph" w:styleId="a4">
    <w:name w:val="Normal (Web)"/>
    <w:basedOn w:val="a"/>
    <w:uiPriority w:val="99"/>
    <w:unhideWhenUsed/>
    <w:rsid w:val="00284C6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80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ims.sxu.edu.cn/zxdt/index.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275</Words>
  <Characters>1569</Characters>
  <Application>Microsoft Office Word</Application>
  <DocSecurity>0</DocSecurity>
  <Lines>13</Lines>
  <Paragraphs>3</Paragraphs>
  <ScaleCrop>false</ScaleCrop>
  <Company/>
  <LinksUpToDate>false</LinksUpToDate>
  <CharactersWithSpaces>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2023-04-15T01:28:00Z</dcterms:created>
  <dcterms:modified xsi:type="dcterms:W3CDTF">2023-04-15T01:29:00Z</dcterms:modified>
</cp:coreProperties>
</file>