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80" w:afterAutospacing="0"/>
        <w:ind w:left="0" w:right="0" w:firstLine="0"/>
        <w:jc w:val="center"/>
        <w:rPr>
          <w:rFonts w:ascii="Verdana" w:hAnsi="Verdana" w:cs="Verdana"/>
          <w:b w:val="0"/>
          <w:bCs w:val="0"/>
          <w:i w:val="0"/>
          <w:iCs w:val="0"/>
          <w:caps w:val="0"/>
          <w:color w:val="9E0B05"/>
          <w:spacing w:val="0"/>
          <w:sz w:val="24"/>
          <w:szCs w:val="24"/>
        </w:rPr>
      </w:pPr>
      <w:bookmarkStart w:id="0" w:name="_GoBack"/>
      <w:r>
        <w:rPr>
          <w:rFonts w:hint="default" w:ascii="Verdana" w:hAnsi="Verdana" w:cs="Verdana"/>
          <w:b w:val="0"/>
          <w:bCs w:val="0"/>
          <w:i w:val="0"/>
          <w:iCs w:val="0"/>
          <w:caps w:val="0"/>
          <w:color w:val="9E0B05"/>
          <w:spacing w:val="0"/>
          <w:sz w:val="24"/>
          <w:szCs w:val="24"/>
          <w:bdr w:val="none" w:color="auto" w:sz="0" w:space="0"/>
          <w:shd w:val="clear" w:fill="FFFFFF"/>
        </w:rPr>
        <w:t>石油与天然气工程学院、能源学院2023年硕士研究生调剂信息</w:t>
      </w:r>
    </w:p>
    <w:bookmarkEnd w:id="0"/>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Verdana" w:hAnsi="Verdana" w:cs="Verdana"/>
          <w:b w:val="0"/>
          <w:bCs w:val="0"/>
          <w:i w:val="0"/>
          <w:iCs w:val="0"/>
          <w:caps w:val="0"/>
          <w:color w:val="999999"/>
          <w:spacing w:val="0"/>
          <w:sz w:val="12"/>
          <w:szCs w:val="12"/>
        </w:rPr>
      </w:pPr>
      <w:r>
        <w:rPr>
          <w:rFonts w:hint="default" w:ascii="Verdana" w:hAnsi="Verdana" w:cs="Verdana"/>
          <w:b w:val="0"/>
          <w:bCs w:val="0"/>
          <w:i w:val="0"/>
          <w:iCs w:val="0"/>
          <w:caps w:val="0"/>
          <w:color w:val="999999"/>
          <w:spacing w:val="0"/>
          <w:sz w:val="12"/>
          <w:szCs w:val="12"/>
          <w:bdr w:val="none" w:color="auto" w:sz="0" w:space="0"/>
          <w:shd w:val="clear" w:fill="FFFFFF"/>
        </w:rPr>
        <w:t>   发布时间: 2023-03-14    访问次数: 4459</w:t>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150" w:beforeAutospacing="0" w:after="80" w:afterAutospacing="0"/>
        <w:ind w:left="0" w:right="0"/>
        <w:jc w:val="left"/>
        <w:rPr>
          <w:b w:val="0"/>
          <w:bCs w:val="0"/>
          <w:color w:val="9E0B05"/>
          <w:sz w:val="24"/>
          <w:szCs w:val="24"/>
        </w:rPr>
      </w:pPr>
      <w:r>
        <w:rPr>
          <w:b w:val="0"/>
          <w:bCs w:val="0"/>
          <w:i w:val="0"/>
          <w:iCs w:val="0"/>
          <w:caps w:val="0"/>
          <w:color w:val="9E0B05"/>
          <w:spacing w:val="0"/>
          <w:sz w:val="16"/>
          <w:szCs w:val="16"/>
          <w:bdr w:val="none" w:color="auto" w:sz="0" w:space="0"/>
          <w:shd w:val="clear" w:fill="FFFFFF"/>
        </w:rPr>
        <w:t>各位考生：</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根据2023年硕士研究生入学初试国家分数线，结合我院2023年硕士研究生入学考试初试情况与招生计划人数，</w:t>
      </w:r>
      <w:r>
        <w:rPr>
          <w:rFonts w:hint="eastAsia" w:ascii="宋体" w:hAnsi="宋体" w:eastAsia="宋体" w:cs="宋体"/>
          <w:b w:val="0"/>
          <w:bCs w:val="0"/>
          <w:i w:val="0"/>
          <w:iCs w:val="0"/>
          <w:caps w:val="0"/>
          <w:color w:val="FF0000"/>
          <w:spacing w:val="0"/>
          <w:sz w:val="16"/>
          <w:szCs w:val="16"/>
          <w:bdr w:val="none" w:color="auto" w:sz="0" w:space="0"/>
          <w:shd w:val="clear" w:fill="FFFFFF"/>
        </w:rPr>
        <w:t>预计我院0820石油与天然气工程（学硕）、0807动力工程及工程热物理（学硕）、0857资源与环境（专硕）有调剂名额。国家“网上调剂意向采集系统”将于3月31日开通，“调剂服务系统”将于4月6日开通，请广大考生持续关注本学院相关信息发布，具体调剂要求和政策信息等以后续发布最新信息为准</w:t>
      </w:r>
      <w:r>
        <w:rPr>
          <w:rFonts w:hint="eastAsia" w:ascii="宋体" w:hAnsi="宋体" w:eastAsia="宋体" w:cs="宋体"/>
          <w:b w:val="0"/>
          <w:bCs w:val="0"/>
          <w:i w:val="0"/>
          <w:iCs w:val="0"/>
          <w:caps w:val="0"/>
          <w:color w:val="333333"/>
          <w:spacing w:val="0"/>
          <w:sz w:val="16"/>
          <w:szCs w:val="16"/>
          <w:bdr w:val="none" w:color="auto" w:sz="0" w:space="0"/>
          <w:shd w:val="clear" w:fill="FFFFFF"/>
        </w:rPr>
        <w:t>。</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石油与天然气工程学院、能源学院拥有水合物，油气回收，管输技术，腐蚀与防护、智能油田，稠油油藏提高采收率，钻井与钻井液，地热，燃料，暖通等研究方向。除石油与天然气学科和动力工程及工程热物理学科所属专业和方向以外，材料、机械、化学、控制、多相流、能源利用等专业和方向在学院各学科均能广泛结合、深入应用。欢迎符合调剂政策，专业相同或相近的考生申请调剂并登记。</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fill="D9E5D0"/>
        <w:spacing w:before="30" w:beforeAutospacing="0" w:after="0" w:afterAutospacing="0" w:line="250" w:lineRule="atLeast"/>
        <w:ind w:left="0" w:right="0"/>
        <w:jc w:val="left"/>
        <w:rPr>
          <w:rFonts w:hint="eastAsia" w:ascii="宋体" w:hAnsi="宋体" w:eastAsia="宋体" w:cs="宋体"/>
          <w:b w:val="0"/>
          <w:bCs w:val="0"/>
          <w:sz w:val="14"/>
          <w:szCs w:val="14"/>
        </w:rPr>
      </w:pPr>
      <w:r>
        <w:rPr>
          <w:rFonts w:ascii="Microsoft YaHei UI" w:hAnsi="Microsoft YaHei UI" w:eastAsia="Microsoft YaHei UI" w:cs="Microsoft YaHei UI"/>
          <w:b w:val="0"/>
          <w:bCs w:val="0"/>
          <w:i w:val="0"/>
          <w:iCs w:val="0"/>
          <w:caps w:val="0"/>
          <w:color w:val="333333"/>
          <w:spacing w:val="0"/>
          <w:sz w:val="15"/>
          <w:szCs w:val="15"/>
          <w:bdr w:val="none" w:color="auto" w:sz="0" w:space="0"/>
          <w:shd w:val="clear" w:fill="D9E5D0"/>
        </w:rPr>
        <w:t>一、预调剂政策</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根据2023学院研究生招生计划，目前尚有预调剂名额，欢迎初试成绩达到国家2023年复试最低控制线（A类）的考生报名并预先登记！</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1．预调剂登记的考生，在录取名额内同等条件下享有优先录取资格。</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2．若被录取，享受以下奖助政策（1）研究生国家奖学金。用于奖励表现优异的全日制研究生。硕士生每生每年2万元；（2）研究生学业奖学金。用于奖励支持全日制研究生更好地完成学业。第一学年，对于来自985、211高校（不含独立学院）的调剂考生，每生12000元、其他考生8000元；（3）研究生国家助学金。用于资助全日制在学研究生，补助研究生基本生活支出，每生每年6000元；（4）研究生勤工助学津贴。承担勤工助学岗位的研究生可获得相应的津贴，每月薪酬最高可达800元；（5）学院另设有特色企业奖助金等，奖助金额800-5000/人。（具体以最新政策为准。）</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fill="D9E5D0"/>
        <w:spacing w:before="30" w:beforeAutospacing="0" w:after="0" w:afterAutospacing="0" w:line="250" w:lineRule="atLeast"/>
        <w:ind w:left="0" w:right="0"/>
        <w:jc w:val="left"/>
        <w:rPr>
          <w:rFonts w:hint="eastAsia" w:ascii="宋体" w:hAnsi="宋体" w:eastAsia="宋体" w:cs="宋体"/>
          <w:b w:val="0"/>
          <w:bCs w:val="0"/>
          <w:sz w:val="14"/>
          <w:szCs w:val="14"/>
        </w:rPr>
      </w:pPr>
      <w:r>
        <w:rPr>
          <w:rFonts w:hint="eastAsia" w:ascii="Microsoft YaHei UI" w:hAnsi="Microsoft YaHei UI" w:eastAsia="Microsoft YaHei UI" w:cs="Microsoft YaHei UI"/>
          <w:b w:val="0"/>
          <w:bCs w:val="0"/>
          <w:i w:val="0"/>
          <w:iCs w:val="0"/>
          <w:caps w:val="0"/>
          <w:color w:val="333333"/>
          <w:spacing w:val="0"/>
          <w:sz w:val="15"/>
          <w:szCs w:val="15"/>
          <w:bdr w:val="none" w:color="auto" w:sz="0" w:space="0"/>
          <w:shd w:val="clear" w:fill="D9E5D0"/>
        </w:rPr>
        <w:t>二、预调剂要求</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1．预调剂考生初试成绩达到调入专业国家2023年复试最低控制线（A类）要求；</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2．申请调剂专业与第一志愿报考专业相同或相近，</w:t>
      </w:r>
      <w:r>
        <w:rPr>
          <w:rFonts w:hint="eastAsia" w:ascii="宋体" w:hAnsi="宋体" w:eastAsia="宋体" w:cs="宋体"/>
          <w:b w:val="0"/>
          <w:bCs w:val="0"/>
          <w:i w:val="0"/>
          <w:iCs w:val="0"/>
          <w:caps w:val="0"/>
          <w:color w:val="FF0000"/>
          <w:spacing w:val="0"/>
          <w:sz w:val="16"/>
          <w:szCs w:val="16"/>
          <w:bdr w:val="none" w:color="auto" w:sz="0" w:space="0"/>
          <w:shd w:val="clear" w:fill="FFFFFF"/>
        </w:rPr>
        <w:t>且应在同一学科门类范围内</w:t>
      </w:r>
      <w:r>
        <w:rPr>
          <w:rFonts w:hint="eastAsia" w:ascii="宋体" w:hAnsi="宋体" w:eastAsia="宋体" w:cs="宋体"/>
          <w:b w:val="0"/>
          <w:bCs w:val="0"/>
          <w:i w:val="0"/>
          <w:iCs w:val="0"/>
          <w:caps w:val="0"/>
          <w:color w:val="333333"/>
          <w:spacing w:val="0"/>
          <w:sz w:val="16"/>
          <w:szCs w:val="16"/>
          <w:bdr w:val="none" w:color="auto" w:sz="0" w:space="0"/>
          <w:shd w:val="clear" w:fill="FFFFFF"/>
        </w:rPr>
        <w:t>；初试科目相同或相近，其中初试全国统一命题科目应与调入专业全国统一命题科目相同，专业课科目相同或相近。</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3．满足教育部等相关管理部门，以及学校有关调剂的其它要求。</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fill="D9E5D0"/>
        <w:spacing w:before="30" w:beforeAutospacing="0" w:after="0" w:afterAutospacing="0" w:line="250" w:lineRule="atLeast"/>
        <w:ind w:left="0" w:right="0"/>
        <w:jc w:val="left"/>
        <w:rPr>
          <w:rFonts w:hint="eastAsia" w:ascii="宋体" w:hAnsi="宋体" w:eastAsia="宋体" w:cs="宋体"/>
          <w:b w:val="0"/>
          <w:bCs w:val="0"/>
          <w:sz w:val="14"/>
          <w:szCs w:val="14"/>
        </w:rPr>
      </w:pPr>
      <w:r>
        <w:rPr>
          <w:rFonts w:hint="eastAsia" w:ascii="Microsoft YaHei UI" w:hAnsi="Microsoft YaHei UI" w:eastAsia="Microsoft YaHei UI" w:cs="Microsoft YaHei UI"/>
          <w:b w:val="0"/>
          <w:bCs w:val="0"/>
          <w:i w:val="0"/>
          <w:iCs w:val="0"/>
          <w:caps w:val="0"/>
          <w:color w:val="333333"/>
          <w:spacing w:val="0"/>
          <w:sz w:val="15"/>
          <w:szCs w:val="15"/>
          <w:bdr w:val="none" w:color="auto" w:sz="0" w:space="0"/>
          <w:shd w:val="clear" w:fill="D9E5D0"/>
        </w:rPr>
        <w:t>三、预调剂专业及名额</w:t>
      </w:r>
    </w:p>
    <w:tbl>
      <w:tblPr>
        <w:tblW w:w="9913"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15" w:type="dxa"/>
          <w:left w:w="15" w:type="dxa"/>
          <w:bottom w:w="15" w:type="dxa"/>
          <w:right w:w="15" w:type="dxa"/>
        </w:tblCellMar>
      </w:tblPr>
      <w:tblGrid>
        <w:gridCol w:w="530"/>
        <w:gridCol w:w="2057"/>
        <w:gridCol w:w="2619"/>
        <w:gridCol w:w="1029"/>
        <w:gridCol w:w="3148"/>
        <w:gridCol w:w="53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15" w:type="dxa"/>
            <w:left w:w="15" w:type="dxa"/>
            <w:bottom w:w="15" w:type="dxa"/>
            <w:right w:w="15" w:type="dxa"/>
          </w:tblCellMar>
        </w:tblPrEx>
        <w:trPr>
          <w:jc w:val="center"/>
        </w:trPr>
        <w:tc>
          <w:tcPr>
            <w:tcW w:w="330" w:type="dxa"/>
            <w:tcBorders>
              <w:top w:val="single" w:color="000000" w:sz="4" w:space="0"/>
              <w:left w:val="single" w:color="000000" w:sz="4" w:space="0"/>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wordWrap w:val="0"/>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ascii="arimo" w:hAnsi="arimo" w:eastAsia="arimo" w:cs="arimo"/>
                <w:b w:val="0"/>
                <w:bCs w:val="0"/>
                <w:color w:val="333333"/>
                <w:sz w:val="14"/>
                <w:szCs w:val="14"/>
                <w:bdr w:val="none" w:color="auto" w:sz="0" w:space="0"/>
              </w:rPr>
              <w:t>学科门类</w:t>
            </w:r>
          </w:p>
        </w:tc>
        <w:tc>
          <w:tcPr>
            <w:tcW w:w="1320" w:type="dxa"/>
            <w:tcBorders>
              <w:top w:val="single" w:color="000000" w:sz="4" w:space="0"/>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wordWrap w:val="0"/>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b w:val="0"/>
                <w:bCs w:val="0"/>
                <w:color w:val="333333"/>
                <w:sz w:val="14"/>
                <w:szCs w:val="14"/>
                <w:bdr w:val="none" w:color="auto" w:sz="0" w:space="0"/>
              </w:rPr>
              <w:t>一级学科</w:t>
            </w:r>
          </w:p>
        </w:tc>
        <w:tc>
          <w:tcPr>
            <w:tcW w:w="1680" w:type="dxa"/>
            <w:tcBorders>
              <w:top w:val="single" w:color="000000" w:sz="4" w:space="0"/>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b w:val="0"/>
                <w:bCs w:val="0"/>
                <w:color w:val="333333"/>
                <w:sz w:val="14"/>
                <w:szCs w:val="14"/>
                <w:bdr w:val="none" w:color="auto" w:sz="0" w:space="0"/>
              </w:rPr>
              <w:t>招生学科（专业）及研究方向</w:t>
            </w:r>
          </w:p>
        </w:tc>
        <w:tc>
          <w:tcPr>
            <w:tcW w:w="660" w:type="dxa"/>
            <w:tcBorders>
              <w:top w:val="single" w:color="000000" w:sz="4" w:space="0"/>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wordWrap w:val="0"/>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b w:val="0"/>
                <w:bCs w:val="0"/>
                <w:color w:val="333333"/>
                <w:sz w:val="14"/>
                <w:szCs w:val="14"/>
                <w:bdr w:val="none" w:color="auto" w:sz="0" w:space="0"/>
              </w:rPr>
              <w:t>全国统一命题科目</w:t>
            </w:r>
          </w:p>
        </w:tc>
        <w:tc>
          <w:tcPr>
            <w:tcW w:w="2020" w:type="dxa"/>
            <w:tcBorders>
              <w:top w:val="single" w:color="000000" w:sz="4" w:space="0"/>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b w:val="0"/>
                <w:bCs w:val="0"/>
                <w:color w:val="333333"/>
                <w:sz w:val="14"/>
                <w:szCs w:val="14"/>
                <w:bdr w:val="none" w:color="auto" w:sz="0" w:space="0"/>
              </w:rPr>
              <w:t>复试参考课程</w:t>
            </w:r>
          </w:p>
        </w:tc>
        <w:tc>
          <w:tcPr>
            <w:tcW w:w="230" w:type="dxa"/>
            <w:tcBorders>
              <w:top w:val="single" w:color="000000" w:sz="4" w:space="0"/>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wordWrap w:val="0"/>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color w:val="FF0000"/>
                <w:sz w:val="14"/>
                <w:szCs w:val="14"/>
                <w:bdr w:val="none" w:color="auto" w:sz="0" w:space="0"/>
              </w:rPr>
              <w:t>调剂状态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15" w:type="dxa"/>
            <w:left w:w="15" w:type="dxa"/>
            <w:bottom w:w="15" w:type="dxa"/>
            <w:right w:w="15" w:type="dxa"/>
          </w:tblCellMar>
        </w:tblPrEx>
        <w:trPr>
          <w:jc w:val="center"/>
        </w:trPr>
        <w:tc>
          <w:tcPr>
            <w:tcW w:w="330" w:type="dxa"/>
            <w:tcBorders>
              <w:top w:val="nil"/>
              <w:left w:val="single" w:color="000000" w:sz="4" w:space="0"/>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wordWrap w:val="0"/>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b w:val="0"/>
                <w:bCs w:val="0"/>
                <w:color w:val="333333"/>
                <w:sz w:val="14"/>
                <w:szCs w:val="14"/>
                <w:bdr w:val="none" w:color="auto" w:sz="0" w:space="0"/>
              </w:rPr>
              <w:t>工学</w:t>
            </w:r>
          </w:p>
        </w:tc>
        <w:tc>
          <w:tcPr>
            <w:tcW w:w="1320" w:type="dxa"/>
            <w:tcBorders>
              <w:top w:val="nil"/>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wordWrap w:val="0"/>
              <w:spacing w:before="30" w:beforeAutospacing="0" w:after="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0820</w:t>
            </w:r>
            <w:r>
              <w:rPr>
                <w:rFonts w:hint="default" w:ascii="arimo" w:hAnsi="arimo" w:eastAsia="arimo" w:cs="arimo"/>
                <w:b w:val="0"/>
                <w:bCs w:val="0"/>
                <w:color w:val="333333"/>
                <w:sz w:val="14"/>
                <w:szCs w:val="14"/>
                <w:bdr w:val="none" w:color="auto" w:sz="0" w:space="0"/>
              </w:rPr>
              <w:t>石油与天然气工程（学硕）</w:t>
            </w:r>
          </w:p>
          <w:p>
            <w:pPr>
              <w:pStyle w:val="4"/>
              <w:keepNext w:val="0"/>
              <w:keepLines w:val="0"/>
              <w:widowControl/>
              <w:suppressLineNumbers w:val="0"/>
              <w:pBdr>
                <w:top w:val="none" w:color="auto" w:sz="0" w:space="0"/>
                <w:left w:val="none" w:color="auto" w:sz="0" w:space="0"/>
                <w:bottom w:val="none" w:color="auto" w:sz="0" w:space="0"/>
                <w:right w:val="none" w:color="auto" w:sz="0" w:space="0"/>
              </w:pBdr>
              <w:wordWrap w:val="0"/>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sz w:val="14"/>
                <w:szCs w:val="14"/>
                <w:bdr w:val="none" w:color="auto" w:sz="0" w:space="0"/>
              </w:rPr>
              <w:t> </w:t>
            </w:r>
          </w:p>
        </w:tc>
        <w:tc>
          <w:tcPr>
            <w:tcW w:w="1680" w:type="dxa"/>
            <w:tcBorders>
              <w:top w:val="nil"/>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01</w:t>
            </w:r>
            <w:r>
              <w:rPr>
                <w:rFonts w:hint="default" w:ascii="arimo" w:hAnsi="arimo" w:eastAsia="arimo" w:cs="arimo"/>
                <w:b w:val="0"/>
                <w:bCs w:val="0"/>
                <w:color w:val="333333"/>
                <w:sz w:val="14"/>
                <w:szCs w:val="14"/>
                <w:bdr w:val="none" w:color="auto" w:sz="0" w:space="0"/>
              </w:rPr>
              <w:t>油气井工程</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02</w:t>
            </w:r>
            <w:r>
              <w:rPr>
                <w:rFonts w:hint="default" w:ascii="arimo" w:hAnsi="arimo" w:eastAsia="arimo" w:cs="arimo"/>
                <w:b w:val="0"/>
                <w:bCs w:val="0"/>
                <w:color w:val="333333"/>
                <w:sz w:val="14"/>
                <w:szCs w:val="14"/>
                <w:bdr w:val="none" w:color="auto" w:sz="0" w:space="0"/>
              </w:rPr>
              <w:t>油气田开发工程</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03</w:t>
            </w:r>
            <w:r>
              <w:rPr>
                <w:rFonts w:hint="default" w:ascii="arimo" w:hAnsi="arimo" w:eastAsia="arimo" w:cs="arimo"/>
                <w:b w:val="0"/>
                <w:bCs w:val="0"/>
                <w:color w:val="333333"/>
                <w:sz w:val="14"/>
                <w:szCs w:val="14"/>
                <w:bdr w:val="none" w:color="auto" w:sz="0" w:space="0"/>
              </w:rPr>
              <w:t>油气储运工程</w:t>
            </w:r>
          </w:p>
        </w:tc>
        <w:tc>
          <w:tcPr>
            <w:tcW w:w="660" w:type="dxa"/>
            <w:tcBorders>
              <w:top w:val="nil"/>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wordWrap w:val="0"/>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b w:val="0"/>
                <w:bCs w:val="0"/>
                <w:color w:val="333333"/>
                <w:sz w:val="14"/>
                <w:szCs w:val="14"/>
                <w:bdr w:val="none" w:color="auto" w:sz="0" w:space="0"/>
              </w:rPr>
              <w:t>政治、英语、数学</w:t>
            </w:r>
          </w:p>
        </w:tc>
        <w:tc>
          <w:tcPr>
            <w:tcW w:w="2020" w:type="dxa"/>
            <w:tcBorders>
              <w:top w:val="nil"/>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01</w:t>
            </w:r>
            <w:r>
              <w:rPr>
                <w:rFonts w:hint="default" w:ascii="arimo" w:hAnsi="arimo" w:eastAsia="arimo" w:cs="arimo"/>
                <w:b w:val="0"/>
                <w:bCs w:val="0"/>
                <w:color w:val="333333"/>
                <w:sz w:val="14"/>
                <w:szCs w:val="14"/>
                <w:bdr w:val="none" w:color="auto" w:sz="0" w:space="0"/>
              </w:rPr>
              <w:t>油气井工程</w:t>
            </w:r>
            <w:r>
              <w:rPr>
                <w:rFonts w:hint="eastAsia" w:ascii="宋体" w:hAnsi="宋体" w:eastAsia="宋体" w:cs="宋体"/>
                <w:b w:val="0"/>
                <w:bCs w:val="0"/>
                <w:color w:val="333333"/>
                <w:sz w:val="14"/>
                <w:szCs w:val="14"/>
                <w:bdr w:val="none" w:color="auto" w:sz="0" w:space="0"/>
              </w:rPr>
              <w:t>\02</w:t>
            </w:r>
            <w:r>
              <w:rPr>
                <w:rFonts w:hint="default" w:ascii="arimo" w:hAnsi="arimo" w:eastAsia="arimo" w:cs="arimo"/>
                <w:b w:val="0"/>
                <w:bCs w:val="0"/>
                <w:color w:val="333333"/>
                <w:sz w:val="14"/>
                <w:szCs w:val="14"/>
                <w:bdr w:val="none" w:color="auto" w:sz="0" w:space="0"/>
              </w:rPr>
              <w:t>油气田开发工程：</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b w:val="0"/>
                <w:bCs w:val="0"/>
                <w:color w:val="333333"/>
                <w:sz w:val="14"/>
                <w:szCs w:val="14"/>
                <w:bdr w:val="none" w:color="auto" w:sz="0" w:space="0"/>
              </w:rPr>
              <w:t>油层物理、钻井与完井工程、采油工程、油藏工程，专业英语；</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03</w:t>
            </w:r>
            <w:r>
              <w:rPr>
                <w:rFonts w:hint="default" w:ascii="arimo" w:hAnsi="arimo" w:eastAsia="arimo" w:cs="arimo"/>
                <w:b w:val="0"/>
                <w:bCs w:val="0"/>
                <w:color w:val="333333"/>
                <w:sz w:val="14"/>
                <w:szCs w:val="14"/>
                <w:bdr w:val="none" w:color="auto" w:sz="0" w:space="0"/>
              </w:rPr>
              <w:t>油气储运工程：</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b w:val="0"/>
                <w:bCs w:val="0"/>
                <w:color w:val="333333"/>
                <w:sz w:val="14"/>
                <w:szCs w:val="14"/>
                <w:bdr w:val="none" w:color="auto" w:sz="0" w:space="0"/>
              </w:rPr>
              <w:t>油气管道设计与管理、油库设计与管理、油气集输，专业英语</w:t>
            </w:r>
          </w:p>
        </w:tc>
        <w:tc>
          <w:tcPr>
            <w:tcW w:w="230" w:type="dxa"/>
            <w:tcBorders>
              <w:top w:val="nil"/>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wordWrap w:val="0"/>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color w:val="FF0000"/>
                <w:sz w:val="14"/>
                <w:szCs w:val="14"/>
                <w:bdr w:val="none" w:color="auto" w:sz="0" w:space="0"/>
              </w:rPr>
              <w:t>接收调剂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15" w:type="dxa"/>
            <w:left w:w="15" w:type="dxa"/>
            <w:bottom w:w="15" w:type="dxa"/>
            <w:right w:w="15" w:type="dxa"/>
          </w:tblCellMar>
        </w:tblPrEx>
        <w:trPr>
          <w:trHeight w:val="3960" w:hRule="atLeast"/>
          <w:jc w:val="center"/>
        </w:trPr>
        <w:tc>
          <w:tcPr>
            <w:tcW w:w="330" w:type="dxa"/>
            <w:tcBorders>
              <w:top w:val="nil"/>
              <w:left w:val="single" w:color="000000" w:sz="4" w:space="0"/>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wordWrap w:val="0"/>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b w:val="0"/>
                <w:bCs w:val="0"/>
                <w:color w:val="333333"/>
                <w:sz w:val="14"/>
                <w:szCs w:val="14"/>
                <w:bdr w:val="none" w:color="auto" w:sz="0" w:space="0"/>
              </w:rPr>
              <w:t>工学</w:t>
            </w:r>
          </w:p>
        </w:tc>
        <w:tc>
          <w:tcPr>
            <w:tcW w:w="1320" w:type="dxa"/>
            <w:tcBorders>
              <w:top w:val="nil"/>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wordWrap w:val="0"/>
              <w:spacing w:before="30" w:beforeAutospacing="0" w:after="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0807</w:t>
            </w:r>
            <w:r>
              <w:rPr>
                <w:rFonts w:hint="default" w:ascii="arimo" w:hAnsi="arimo" w:eastAsia="arimo" w:cs="arimo"/>
                <w:b w:val="0"/>
                <w:bCs w:val="0"/>
                <w:color w:val="333333"/>
                <w:sz w:val="14"/>
                <w:szCs w:val="14"/>
                <w:bdr w:val="none" w:color="auto" w:sz="0" w:space="0"/>
              </w:rPr>
              <w:t>动力工程及工程热物理（学硕）</w:t>
            </w:r>
          </w:p>
        </w:tc>
        <w:tc>
          <w:tcPr>
            <w:tcW w:w="1680" w:type="dxa"/>
            <w:tcBorders>
              <w:top w:val="nil"/>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01</w:t>
            </w:r>
            <w:r>
              <w:rPr>
                <w:rFonts w:hint="default" w:ascii="arimo" w:hAnsi="arimo" w:eastAsia="arimo" w:cs="arimo"/>
                <w:b w:val="0"/>
                <w:bCs w:val="0"/>
                <w:color w:val="333333"/>
                <w:sz w:val="14"/>
                <w:szCs w:val="14"/>
                <w:bdr w:val="none" w:color="auto" w:sz="0" w:space="0"/>
              </w:rPr>
              <w:t>高效与洁净燃烧新技术</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02</w:t>
            </w:r>
            <w:r>
              <w:rPr>
                <w:rFonts w:hint="default" w:ascii="arimo" w:hAnsi="arimo" w:eastAsia="arimo" w:cs="arimo"/>
                <w:b w:val="0"/>
                <w:bCs w:val="0"/>
                <w:color w:val="333333"/>
                <w:sz w:val="14"/>
                <w:szCs w:val="14"/>
                <w:bdr w:val="none" w:color="auto" w:sz="0" w:space="0"/>
              </w:rPr>
              <w:t>气体污染物排放控制及有机和固体废弃物综合处理技术</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03</w:t>
            </w:r>
            <w:r>
              <w:rPr>
                <w:rFonts w:hint="default" w:ascii="arimo" w:hAnsi="arimo" w:eastAsia="arimo" w:cs="arimo"/>
                <w:b w:val="0"/>
                <w:bCs w:val="0"/>
                <w:color w:val="333333"/>
                <w:sz w:val="14"/>
                <w:szCs w:val="14"/>
                <w:bdr w:val="none" w:color="auto" w:sz="0" w:space="0"/>
              </w:rPr>
              <w:t>能源高效综合利用及储能技术与装备</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04</w:t>
            </w:r>
            <w:r>
              <w:rPr>
                <w:rFonts w:hint="default" w:ascii="arimo" w:hAnsi="arimo" w:eastAsia="arimo" w:cs="arimo"/>
                <w:b w:val="0"/>
                <w:bCs w:val="0"/>
                <w:color w:val="333333"/>
                <w:sz w:val="14"/>
                <w:szCs w:val="14"/>
                <w:bdr w:val="none" w:color="auto" w:sz="0" w:space="0"/>
              </w:rPr>
              <w:t>新型强化传热、隔热技术及新材料</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05</w:t>
            </w:r>
            <w:r>
              <w:rPr>
                <w:rFonts w:hint="default" w:ascii="arimo" w:hAnsi="arimo" w:eastAsia="arimo" w:cs="arimo"/>
                <w:b w:val="0"/>
                <w:bCs w:val="0"/>
                <w:color w:val="333333"/>
                <w:sz w:val="14"/>
                <w:szCs w:val="14"/>
                <w:bdr w:val="none" w:color="auto" w:sz="0" w:space="0"/>
              </w:rPr>
              <w:t>新能源开发利用及多能互补技术</w:t>
            </w:r>
          </w:p>
        </w:tc>
        <w:tc>
          <w:tcPr>
            <w:tcW w:w="660" w:type="dxa"/>
            <w:tcBorders>
              <w:top w:val="nil"/>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wordWrap w:val="0"/>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b w:val="0"/>
                <w:bCs w:val="0"/>
                <w:color w:val="333333"/>
                <w:sz w:val="14"/>
                <w:szCs w:val="14"/>
                <w:bdr w:val="none" w:color="auto" w:sz="0" w:space="0"/>
              </w:rPr>
              <w:t>政治、英语、数学</w:t>
            </w:r>
          </w:p>
        </w:tc>
        <w:tc>
          <w:tcPr>
            <w:tcW w:w="2020" w:type="dxa"/>
            <w:tcBorders>
              <w:top w:val="nil"/>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b w:val="0"/>
                <w:bCs w:val="0"/>
                <w:color w:val="333333"/>
                <w:sz w:val="14"/>
                <w:szCs w:val="14"/>
                <w:bdr w:val="none" w:color="auto" w:sz="0" w:space="0"/>
              </w:rPr>
              <w:t>传热学、锅炉原理、专业英语</w:t>
            </w:r>
          </w:p>
        </w:tc>
        <w:tc>
          <w:tcPr>
            <w:tcW w:w="230" w:type="dxa"/>
            <w:tcBorders>
              <w:top w:val="nil"/>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wordWrap w:val="0"/>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color w:val="FF0000"/>
                <w:sz w:val="14"/>
                <w:szCs w:val="14"/>
                <w:bdr w:val="none" w:color="auto" w:sz="0" w:space="0"/>
              </w:rPr>
              <w:t>接收调剂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15" w:type="dxa"/>
            <w:left w:w="15" w:type="dxa"/>
            <w:bottom w:w="15" w:type="dxa"/>
            <w:right w:w="15" w:type="dxa"/>
          </w:tblCellMar>
        </w:tblPrEx>
        <w:trPr>
          <w:jc w:val="center"/>
        </w:trPr>
        <w:tc>
          <w:tcPr>
            <w:tcW w:w="330" w:type="dxa"/>
            <w:tcBorders>
              <w:top w:val="nil"/>
              <w:left w:val="single" w:color="000000" w:sz="4" w:space="0"/>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wordWrap w:val="0"/>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b w:val="0"/>
                <w:bCs w:val="0"/>
                <w:color w:val="333333"/>
                <w:sz w:val="14"/>
                <w:szCs w:val="14"/>
                <w:bdr w:val="none" w:color="auto" w:sz="0" w:space="0"/>
              </w:rPr>
              <w:t>工学</w:t>
            </w:r>
          </w:p>
        </w:tc>
        <w:tc>
          <w:tcPr>
            <w:tcW w:w="1320" w:type="dxa"/>
            <w:tcBorders>
              <w:top w:val="nil"/>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wordWrap w:val="0"/>
              <w:spacing w:before="30" w:beforeAutospacing="0" w:after="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0857</w:t>
            </w:r>
            <w:r>
              <w:rPr>
                <w:rFonts w:hint="default" w:ascii="arimo" w:hAnsi="arimo" w:eastAsia="arimo" w:cs="arimo"/>
                <w:b w:val="0"/>
                <w:bCs w:val="0"/>
                <w:color w:val="333333"/>
                <w:sz w:val="14"/>
                <w:szCs w:val="14"/>
                <w:bdr w:val="none" w:color="auto" w:sz="0" w:space="0"/>
              </w:rPr>
              <w:t>资源与环境（专硕）</w:t>
            </w:r>
          </w:p>
        </w:tc>
        <w:tc>
          <w:tcPr>
            <w:tcW w:w="1680" w:type="dxa"/>
            <w:tcBorders>
              <w:top w:val="nil"/>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01</w:t>
            </w:r>
            <w:r>
              <w:rPr>
                <w:rFonts w:hint="default" w:ascii="arimo" w:hAnsi="arimo" w:eastAsia="arimo" w:cs="arimo"/>
                <w:b w:val="0"/>
                <w:bCs w:val="0"/>
                <w:color w:val="333333"/>
                <w:sz w:val="14"/>
                <w:szCs w:val="14"/>
                <w:bdr w:val="none" w:color="auto" w:sz="0" w:space="0"/>
              </w:rPr>
              <w:t>石油与天然气工程</w:t>
            </w:r>
            <w:r>
              <w:rPr>
                <w:rFonts w:hint="eastAsia" w:ascii="宋体" w:hAnsi="宋体" w:eastAsia="宋体" w:cs="宋体"/>
                <w:b w:val="0"/>
                <w:bCs w:val="0"/>
                <w:color w:val="333333"/>
                <w:sz w:val="14"/>
                <w:szCs w:val="14"/>
                <w:bdr w:val="none" w:color="auto" w:sz="0" w:space="0"/>
              </w:rPr>
              <w:t>(</w:t>
            </w:r>
            <w:r>
              <w:rPr>
                <w:rFonts w:hint="default" w:ascii="arimo" w:hAnsi="arimo" w:eastAsia="arimo" w:cs="arimo"/>
                <w:b w:val="0"/>
                <w:bCs w:val="0"/>
                <w:color w:val="333333"/>
                <w:sz w:val="14"/>
                <w:szCs w:val="14"/>
                <w:bdr w:val="none" w:color="auto" w:sz="0" w:space="0"/>
              </w:rPr>
              <w:t>油气井工程</w:t>
            </w:r>
            <w:r>
              <w:rPr>
                <w:rFonts w:hint="eastAsia" w:ascii="宋体" w:hAnsi="宋体" w:eastAsia="宋体" w:cs="宋体"/>
                <w:b w:val="0"/>
                <w:bCs w:val="0"/>
                <w:color w:val="333333"/>
                <w:sz w:val="14"/>
                <w:szCs w:val="14"/>
                <w:bdr w:val="none" w:color="auto" w:sz="0" w:space="0"/>
              </w:rPr>
              <w:t>)</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02</w:t>
            </w:r>
            <w:r>
              <w:rPr>
                <w:rFonts w:hint="default" w:ascii="arimo" w:hAnsi="arimo" w:eastAsia="arimo" w:cs="arimo"/>
                <w:b w:val="0"/>
                <w:bCs w:val="0"/>
                <w:color w:val="333333"/>
                <w:sz w:val="14"/>
                <w:szCs w:val="14"/>
                <w:bdr w:val="none" w:color="auto" w:sz="0" w:space="0"/>
              </w:rPr>
              <w:t>石油与天然气工程</w:t>
            </w:r>
            <w:r>
              <w:rPr>
                <w:rFonts w:hint="eastAsia" w:ascii="宋体" w:hAnsi="宋体" w:eastAsia="宋体" w:cs="宋体"/>
                <w:b w:val="0"/>
                <w:bCs w:val="0"/>
                <w:color w:val="333333"/>
                <w:sz w:val="14"/>
                <w:szCs w:val="14"/>
                <w:bdr w:val="none" w:color="auto" w:sz="0" w:space="0"/>
              </w:rPr>
              <w:t>(</w:t>
            </w:r>
            <w:r>
              <w:rPr>
                <w:rFonts w:hint="default" w:ascii="arimo" w:hAnsi="arimo" w:eastAsia="arimo" w:cs="arimo"/>
                <w:b w:val="0"/>
                <w:bCs w:val="0"/>
                <w:color w:val="333333"/>
                <w:sz w:val="14"/>
                <w:szCs w:val="14"/>
                <w:bdr w:val="none" w:color="auto" w:sz="0" w:space="0"/>
              </w:rPr>
              <w:t>油气田开发工程</w:t>
            </w:r>
            <w:r>
              <w:rPr>
                <w:rFonts w:hint="eastAsia" w:ascii="宋体" w:hAnsi="宋体" w:eastAsia="宋体" w:cs="宋体"/>
                <w:b w:val="0"/>
                <w:bCs w:val="0"/>
                <w:color w:val="333333"/>
                <w:sz w:val="14"/>
                <w:szCs w:val="14"/>
                <w:bdr w:val="none" w:color="auto" w:sz="0" w:space="0"/>
              </w:rPr>
              <w:t>)</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03</w:t>
            </w:r>
            <w:r>
              <w:rPr>
                <w:rFonts w:hint="default" w:ascii="arimo" w:hAnsi="arimo" w:eastAsia="arimo" w:cs="arimo"/>
                <w:b w:val="0"/>
                <w:bCs w:val="0"/>
                <w:color w:val="333333"/>
                <w:sz w:val="14"/>
                <w:szCs w:val="14"/>
                <w:bdr w:val="none" w:color="auto" w:sz="0" w:space="0"/>
              </w:rPr>
              <w:t>石油与天然气工程</w:t>
            </w:r>
            <w:r>
              <w:rPr>
                <w:rFonts w:hint="eastAsia" w:ascii="宋体" w:hAnsi="宋体" w:eastAsia="宋体" w:cs="宋体"/>
                <w:b w:val="0"/>
                <w:bCs w:val="0"/>
                <w:color w:val="333333"/>
                <w:sz w:val="14"/>
                <w:szCs w:val="14"/>
                <w:bdr w:val="none" w:color="auto" w:sz="0" w:space="0"/>
              </w:rPr>
              <w:t>(</w:t>
            </w:r>
            <w:r>
              <w:rPr>
                <w:rFonts w:hint="default" w:ascii="arimo" w:hAnsi="arimo" w:eastAsia="arimo" w:cs="arimo"/>
                <w:b w:val="0"/>
                <w:bCs w:val="0"/>
                <w:color w:val="333333"/>
                <w:sz w:val="14"/>
                <w:szCs w:val="14"/>
                <w:bdr w:val="none" w:color="auto" w:sz="0" w:space="0"/>
              </w:rPr>
              <w:t>油气储运工程</w:t>
            </w:r>
            <w:r>
              <w:rPr>
                <w:rFonts w:hint="eastAsia" w:ascii="宋体" w:hAnsi="宋体" w:eastAsia="宋体" w:cs="宋体"/>
                <w:b w:val="0"/>
                <w:bCs w:val="0"/>
                <w:color w:val="333333"/>
                <w:sz w:val="14"/>
                <w:szCs w:val="14"/>
                <w:bdr w:val="none" w:color="auto" w:sz="0" w:space="0"/>
              </w:rPr>
              <w:t>)</w:t>
            </w:r>
          </w:p>
        </w:tc>
        <w:tc>
          <w:tcPr>
            <w:tcW w:w="660" w:type="dxa"/>
            <w:tcBorders>
              <w:top w:val="nil"/>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wordWrap w:val="0"/>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b w:val="0"/>
                <w:bCs w:val="0"/>
                <w:color w:val="333333"/>
                <w:sz w:val="14"/>
                <w:szCs w:val="14"/>
                <w:bdr w:val="none" w:color="auto" w:sz="0" w:space="0"/>
              </w:rPr>
              <w:t>政治、英语、数学</w:t>
            </w:r>
          </w:p>
        </w:tc>
        <w:tc>
          <w:tcPr>
            <w:tcW w:w="2020" w:type="dxa"/>
            <w:tcBorders>
              <w:top w:val="nil"/>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01</w:t>
            </w:r>
            <w:r>
              <w:rPr>
                <w:rFonts w:hint="default" w:ascii="arimo" w:hAnsi="arimo" w:eastAsia="arimo" w:cs="arimo"/>
                <w:b w:val="0"/>
                <w:bCs w:val="0"/>
                <w:color w:val="333333"/>
                <w:sz w:val="14"/>
                <w:szCs w:val="14"/>
                <w:bdr w:val="none" w:color="auto" w:sz="0" w:space="0"/>
              </w:rPr>
              <w:t>油气井工程</w:t>
            </w:r>
            <w:r>
              <w:rPr>
                <w:rFonts w:hint="eastAsia" w:ascii="宋体" w:hAnsi="宋体" w:eastAsia="宋体" w:cs="宋体"/>
                <w:b w:val="0"/>
                <w:bCs w:val="0"/>
                <w:color w:val="333333"/>
                <w:sz w:val="14"/>
                <w:szCs w:val="14"/>
                <w:bdr w:val="none" w:color="auto" w:sz="0" w:space="0"/>
              </w:rPr>
              <w:t>\02</w:t>
            </w:r>
            <w:r>
              <w:rPr>
                <w:rFonts w:hint="default" w:ascii="arimo" w:hAnsi="arimo" w:eastAsia="arimo" w:cs="arimo"/>
                <w:b w:val="0"/>
                <w:bCs w:val="0"/>
                <w:color w:val="333333"/>
                <w:sz w:val="14"/>
                <w:szCs w:val="14"/>
                <w:bdr w:val="none" w:color="auto" w:sz="0" w:space="0"/>
              </w:rPr>
              <w:t>油气田开发工程：</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b w:val="0"/>
                <w:bCs w:val="0"/>
                <w:color w:val="333333"/>
                <w:sz w:val="14"/>
                <w:szCs w:val="14"/>
                <w:bdr w:val="none" w:color="auto" w:sz="0" w:space="0"/>
              </w:rPr>
              <w:t>油层物理、钻井与完井工程、采油工程、油藏工程，专业英语；</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color w:val="333333"/>
                <w:sz w:val="14"/>
                <w:szCs w:val="14"/>
                <w:bdr w:val="none" w:color="auto" w:sz="0" w:space="0"/>
              </w:rPr>
              <w:t>03</w:t>
            </w:r>
            <w:r>
              <w:rPr>
                <w:rFonts w:hint="default" w:ascii="arimo" w:hAnsi="arimo" w:eastAsia="arimo" w:cs="arimo"/>
                <w:b w:val="0"/>
                <w:bCs w:val="0"/>
                <w:color w:val="333333"/>
                <w:sz w:val="14"/>
                <w:szCs w:val="14"/>
                <w:bdr w:val="none" w:color="auto" w:sz="0" w:space="0"/>
              </w:rPr>
              <w:t>油气储运工程：</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b w:val="0"/>
                <w:bCs w:val="0"/>
                <w:color w:val="333333"/>
                <w:sz w:val="14"/>
                <w:szCs w:val="14"/>
                <w:bdr w:val="none" w:color="auto" w:sz="0" w:space="0"/>
              </w:rPr>
              <w:t>油气管道设计与管理、油库设计与管理、油气集输，专业英语</w:t>
            </w:r>
          </w:p>
        </w:tc>
        <w:tc>
          <w:tcPr>
            <w:tcW w:w="230" w:type="dxa"/>
            <w:tcBorders>
              <w:top w:val="nil"/>
              <w:left w:val="nil"/>
              <w:bottom w:val="single" w:color="000000" w:sz="4" w:space="0"/>
              <w:right w:val="single" w:color="000000" w:sz="4" w:space="0"/>
            </w:tcBorders>
            <w:shd w:val="clear" w:color="auto" w:fill="FFFFFF"/>
            <w:tcMar>
              <w:top w:w="50" w:type="dxa"/>
              <w:left w:w="100" w:type="dxa"/>
              <w:bottom w:w="50" w:type="dxa"/>
              <w:right w:w="100" w:type="dxa"/>
            </w:tcMar>
            <w:vAlign w:val="center"/>
          </w:tcPr>
          <w:p>
            <w:pPr>
              <w:pStyle w:val="4"/>
              <w:keepNext w:val="0"/>
              <w:keepLines w:val="0"/>
              <w:widowControl/>
              <w:suppressLineNumbers w:val="0"/>
              <w:pBdr>
                <w:top w:val="none" w:color="auto" w:sz="0" w:space="0"/>
                <w:left w:val="none" w:color="auto" w:sz="0" w:space="0"/>
                <w:bottom w:val="none" w:color="auto" w:sz="0" w:space="0"/>
                <w:right w:val="none" w:color="auto" w:sz="0" w:space="0"/>
              </w:pBdr>
              <w:wordWrap w:val="0"/>
              <w:spacing w:before="30" w:beforeAutospacing="0" w:after="150" w:afterAutospacing="0" w:line="250" w:lineRule="atLeast"/>
              <w:ind w:left="0" w:right="0"/>
              <w:jc w:val="center"/>
              <w:rPr>
                <w:rFonts w:hint="eastAsia" w:ascii="宋体" w:hAnsi="宋体" w:eastAsia="宋体" w:cs="宋体"/>
                <w:b w:val="0"/>
                <w:bCs w:val="0"/>
                <w:sz w:val="14"/>
                <w:szCs w:val="14"/>
              </w:rPr>
            </w:pPr>
            <w:r>
              <w:rPr>
                <w:rFonts w:hint="default" w:ascii="arimo" w:hAnsi="arimo" w:eastAsia="arimo" w:cs="arimo"/>
                <w:color w:val="FF0000"/>
                <w:sz w:val="14"/>
                <w:szCs w:val="14"/>
                <w:bdr w:val="none" w:color="auto" w:sz="0" w:space="0"/>
              </w:rPr>
              <w:t>接收调剂</w:t>
            </w:r>
          </w:p>
        </w:tc>
      </w:tr>
    </w:tbl>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4"/>
          <w:szCs w:val="14"/>
          <w:bdr w:val="none" w:color="auto" w:sz="0" w:space="0"/>
          <w:shd w:val="clear" w:fill="FFFFFF"/>
        </w:rPr>
        <w:t> </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fill="D9E5D0"/>
        <w:spacing w:before="30" w:beforeAutospacing="0" w:after="0" w:afterAutospacing="0" w:line="250" w:lineRule="atLeast"/>
        <w:ind w:left="0" w:right="0"/>
        <w:jc w:val="left"/>
        <w:rPr>
          <w:rFonts w:hint="eastAsia" w:ascii="宋体" w:hAnsi="宋体" w:eastAsia="宋体" w:cs="宋体"/>
          <w:b w:val="0"/>
          <w:bCs w:val="0"/>
          <w:sz w:val="14"/>
          <w:szCs w:val="14"/>
        </w:rPr>
      </w:pPr>
      <w:r>
        <w:rPr>
          <w:rFonts w:hint="eastAsia" w:ascii="Microsoft YaHei UI" w:hAnsi="Microsoft YaHei UI" w:eastAsia="Microsoft YaHei UI" w:cs="Microsoft YaHei UI"/>
          <w:b w:val="0"/>
          <w:bCs w:val="0"/>
          <w:i w:val="0"/>
          <w:iCs w:val="0"/>
          <w:caps w:val="0"/>
          <w:color w:val="333333"/>
          <w:spacing w:val="0"/>
          <w:sz w:val="15"/>
          <w:szCs w:val="15"/>
          <w:bdr w:val="none" w:color="auto" w:sz="0" w:space="0"/>
          <w:shd w:val="clear" w:fill="D9E5D0"/>
        </w:rPr>
        <w:t>四、联系方式</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   QQ群：812035193</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   电话：0519-86330800</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   学院导师介绍：http://cpe.cczu.edu.cn/5875/list.htm</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   复试科目参考书：http://cpe.cczu.edu.cn/2023/0222/c6052a318113/page.htm</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4"/>
          <w:szCs w:val="14"/>
          <w:bdr w:val="none" w:color="auto" w:sz="0" w:space="0"/>
          <w:shd w:val="clear" w:fill="FFFFFF"/>
        </w:rPr>
        <w:t> </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fill="D9E5D0"/>
        <w:spacing w:before="30" w:beforeAutospacing="0" w:after="0" w:afterAutospacing="0" w:line="250" w:lineRule="atLeast"/>
        <w:ind w:left="0" w:right="0"/>
        <w:jc w:val="left"/>
        <w:rPr>
          <w:rFonts w:hint="eastAsia" w:ascii="宋体" w:hAnsi="宋体" w:eastAsia="宋体" w:cs="宋体"/>
          <w:b w:val="0"/>
          <w:bCs w:val="0"/>
          <w:sz w:val="14"/>
          <w:szCs w:val="14"/>
        </w:rPr>
      </w:pPr>
      <w:r>
        <w:rPr>
          <w:rFonts w:hint="eastAsia" w:ascii="Microsoft YaHei UI" w:hAnsi="Microsoft YaHei UI" w:eastAsia="Microsoft YaHei UI" w:cs="Microsoft YaHei UI"/>
          <w:b w:val="0"/>
          <w:bCs w:val="0"/>
          <w:i w:val="0"/>
          <w:iCs w:val="0"/>
          <w:caps w:val="0"/>
          <w:color w:val="333333"/>
          <w:spacing w:val="0"/>
          <w:sz w:val="15"/>
          <w:szCs w:val="15"/>
          <w:bdr w:val="none" w:color="auto" w:sz="0" w:space="0"/>
          <w:shd w:val="clear" w:fill="D9E5D0"/>
        </w:rPr>
        <w:t>五、调剂预申请</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扫二维码，填写预调剂基本信息（注：所提交信息仅用于学院组织调剂工作，非正式调剂申请。正式调剂请在调剂系统开放时，第一时间登录调剂系统进行操作。）</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center"/>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4"/>
          <w:szCs w:val="14"/>
          <w:bdr w:val="none" w:color="auto" w:sz="0" w:space="0"/>
          <w:shd w:val="clear" w:fill="FFFFFF"/>
        </w:rPr>
        <w:t>https://www.wjx.cn/vm/tqvaXyT.aspx#</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center"/>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4"/>
          <w:szCs w:val="14"/>
          <w:bdr w:val="none" w:color="auto" w:sz="0" w:space="0"/>
          <w:shd w:val="clear" w:fill="FFFFFF"/>
        </w:rPr>
        <w:drawing>
          <wp:inline distT="0" distB="0" distL="114300" distR="114300">
            <wp:extent cx="1428750" cy="1428750"/>
            <wp:effectExtent l="0" t="0" r="6350" b="6350"/>
            <wp:docPr id="4"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IMG_256"/>
                    <pic:cNvPicPr>
                      <a:picLocks noChangeAspect="1"/>
                    </pic:cNvPicPr>
                  </pic:nvPicPr>
                  <pic:blipFill>
                    <a:blip r:embed="rId4"/>
                    <a:stretch>
                      <a:fillRect/>
                    </a:stretch>
                  </pic:blipFill>
                  <pic:spPr>
                    <a:xfrm>
                      <a:off x="0" y="0"/>
                      <a:ext cx="1428750" cy="1428750"/>
                    </a:xfrm>
                    <a:prstGeom prst="rect">
                      <a:avLst/>
                    </a:prstGeom>
                    <a:noFill/>
                    <a:ln w="9525">
                      <a:noFill/>
                    </a:ln>
                  </pic:spPr>
                </pic:pic>
              </a:graphicData>
            </a:graphic>
          </wp:inline>
        </w:drawing>
      </w:r>
      <w:r>
        <w:rPr>
          <w:rFonts w:hint="eastAsia" w:ascii="宋体" w:hAnsi="宋体" w:eastAsia="宋体" w:cs="宋体"/>
          <w:b w:val="0"/>
          <w:bCs w:val="0"/>
          <w:i w:val="0"/>
          <w:iCs w:val="0"/>
          <w:caps w:val="0"/>
          <w:color w:val="333333"/>
          <w:spacing w:val="0"/>
          <w:sz w:val="14"/>
          <w:szCs w:val="14"/>
          <w:bdr w:val="none" w:color="auto" w:sz="0" w:space="0"/>
          <w:shd w:val="clear" w:fill="FFFFFF"/>
        </w:rPr>
        <w:t> </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Style w:val="7"/>
          <w:rFonts w:hint="eastAsia" w:ascii="宋体" w:hAnsi="宋体" w:eastAsia="宋体" w:cs="宋体"/>
          <w:i w:val="0"/>
          <w:iCs w:val="0"/>
          <w:caps w:val="0"/>
          <w:color w:val="333333"/>
          <w:spacing w:val="0"/>
          <w:sz w:val="16"/>
          <w:szCs w:val="16"/>
          <w:bdr w:val="none" w:color="auto" w:sz="0" w:space="0"/>
          <w:shd w:val="clear" w:fill="FFFFFF"/>
        </w:rPr>
        <w:t>常州大学</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常州大学坐落于经济繁荣、人文荟萃的江南历史文化名城——江苏常州，是江苏省人民政府与中国石油天然气集团有限公司、中国石油化工集团有限公司及中国海洋石油集团有限公司共建的省属全日制本科院校，江苏高水平大学建设高峰计划建设高校，以及江苏省教育厅与常州市人民政府共建高校。</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学校始建于1978年，前身为南京化工学院无锡分院、常州分院。1981年经国务院批准，学校定名为江苏化工学院；1984年实行江苏省人民政府和中国石油化工总公司联合办学机制；1992年成为中国石油化工集团有限公司（原中国石油化工总公司）管理的部属院校，并更名为江苏石油化工学院；2000年实行中央与地方共建、以江苏省管理为主的管理体制；2001年江苏省商业技工学校并入江苏石油化工学院；2002年学校更名为江苏工业学院；2010年经教育部批准更名为常州大学。学校历经45年的发展，现已建成完整的学士—硕士—博士人才培养体系以及多层次的科学研究和社会服务体系。2020年学校在软科中国大学排名中位居全国第129位。</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学校以“责任”为校训，秉承“勇担责任，追求卓越”的学校精神和“以人为美、育人为本，开放办学、协同发展”的办学理念，积极培养具有理想信念、爱国情怀、科学精神、协作品质、国际视野的服务国家经济社会发展的高素质创新型人才。</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学校基础设施齐全，办学条件优良。现有科教城、西太湖两个校区，校园占地面积2000余亩，教学科研仪器设备总值逾5亿元。学校设有26个学院，在校生总数为27175人，其中全日制本科生21918人，博士、硕士研究生4609人（含非全日制硕士研究生312人），留学生648人。同时设立继续教育学院（李公朴社会教育学院）和常州大学怀德学院（独立学院）。</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学校学科门类较为齐全，学科特色较为鲜明，涵盖工学、理学、管理学、经济学、文学、法学、艺术学、医学、农学、教育学等十大学科门类。现有一级学科博士学位授权点2个、一级学科硕士学位授权点15个、专业硕士学位授权点17个。拥有省优势学科2个、省“十四五”重点学科8个，化学学科进入全球ESI学科排名前3‰，材料科学、工程学2个学科进入全球ESI学科排名前4‰。在2022软科中国最好学科排名中，法学、马克思主义理论、化学、材料科学与工程、动力工程与工程热物理、计算机科学与技术、化学工程与技术、环境科学与工程、安全科学与工程、工商管理10个学科上榜。</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学校人才培养体系健全，培养质量不断提高。现有本科招生专业67个，其中国家级特色专业3个、国家级一流专业建设点19个、教育部专业综合改革试点项目2个、中国工程教育认证专业12个；国家级一流课程13门、国家级精品教材1部、规划教材9部；获批国家级现代产业学院1个；国家级实验教学示范中心2个、国家级虚拟仿真实验教学中心2个、国家虚拟仿真实验教学项目2个、国家级创新创业学院1个、国家级大学生校外实践教育基地1个；高等教育国家级教学成果一等奖2项、二等奖1项。学校是全国深化创新创业教育改革示范高校和江苏省首批大学生创新创业实践教育中心。学校荣获“挑战杯”全国大学生课外学术科技作品竞赛特等奖3项、一等奖3项、二等奖8项、三等奖11项，2017年捧得“优胜杯”；荣获“挑战杯”全国大学生创业计划竞赛金奖5项，银奖3项，铜奖7项，实现金奖“四连冠”，2020年捧得“优胜杯”；荣获中国国际“互联网＋”大学生创新创业大赛金奖4项、银奖3项、铜奖11项。学校在2016-2020年“全国普通高校大学生竞赛排行榜（本科）”和“全国地方本科院校大学生竞赛排行榜”分列第91位和第44位。</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学校师资队伍结构合理，教师素质优良。现有教职工2450余人，专任教师（不含辅导员）1651人，专任教师中高级专业技术职务769人，博士学位专任教师占比达72.9%。拥有工程院院士5人（双聘），国家杰出青年科学基金获得者2人，“百千万人才工程”国家级人选3人，教育部新世纪优秀人才支持计划2人，享受国务院政府特殊津贴专家11人，国家教学名师2人；学校现有江苏省“双创人才”、“333工程”、“特聘教授”、“青蓝工程”等省级人才320余人次；省“双创团队”、“青蓝工程”科技创新和教学团队、“六大人才高峰”创新人才团队等团队10余个。学校连续多年被评为“江苏省师资队伍建设先进高校”和“江苏省教育人才工作先进单位”。</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学校突出自主创新，全面推行“顶天立地”有效科研。“十三五”以来，学校荣获国家科技进步二等奖1项、国家技术发明二等奖1项、中国专利银奖1项、高等学校科学研究优秀成果奖（人文社会科学）二等奖1项、入选国家哲学社会科学成果文库1项、省部级和行业科研成果奖项98项；获得国家级科研项目411项，其中重大、重点项目24项；被SCI、EI、CPCI、CSSCI等收录学术论文3400余篇，获发明专利授权2000余件。学校拥有国家地方联合工程研究中心1个、国家级重点实验室（培育点）1个、省部级重点实验室13个、省级协同创新中心2个、省级人文社科研究基地10个、省级大学科技园孵化器1个。学校与中国石油天然气集团有限公司成立创新联合体，与国内50余家大型石油石化企业和70多个县区级以上政府建立了全面合作关系，与企业共建省级工程技术中心32个、校企联合研发中心51个、产学研基地537个、校企联盟458个。2016年和2021年学校荣获“中国产学研合作创新奖”。</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学校坚持开放办学，不断推进高品质国际合作。以学生互换、学术交流、科研合作为重点，先后与30多个国家和地区的60余所大学建立紧密合作关系。与爱尔兰梅努斯大学、加拿大圣西维尔大学、乌克兰哈尔科夫工艺美术大学举办电子信息工程、制药工程、计算机科学与技术、信息管理与信息系统、艺术设计（硕士）等5个中外合作办学项目，获批省高校中外合作办学高水平示范性建设工程1项，省国际化人才培养品牌专业建设项目2项，省国际实验室建设项目2项。学校通过高校来华留学质量认证，是国务院侨办华文教育基地，现有40多个国家的外国留学生在校学习。与玻利瓦尔大学共建我国在委内瑞拉的首家孔子学院，承办西班牙安达卢西亚自治区孔子课堂。成立跨文化研究院、泰国研究中心、拉美研究中心、以色列文化研究中心等智库平台，不断推进中外人文交流。</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学校被授予“全国模范职工之家”“全国五四红旗团委”“江苏省文明校园”“江苏省教育人才工作先进单位”“江苏省高校思想政治教育工作先进集体”“江苏省科技工作先进高校”“江苏省高等学校信息化建设优秀单位”“江苏省高校图书馆先进集体”“江苏省高质量平安校园建设高校”“江苏省花园式校园”等荣誉称号。</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当前，常州大学正在全力推进江苏省高水平大学建设，全面开启“十四五”发展新征程。学校以高质量党建统领高质量发展，通过立足地方、服务行业、面向国际以及与之融荣与共的战略合作与互动，聚焦立德树人，加强内涵建设。全体师生员工凝心聚力，锐意创新，为全面建成特色鲜明的高水平地方领军型大学而努力奋斗。</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 </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left"/>
        <w:rPr>
          <w:rFonts w:hint="eastAsia" w:ascii="宋体" w:hAnsi="宋体" w:eastAsia="宋体" w:cs="宋体"/>
          <w:b w:val="0"/>
          <w:bCs w:val="0"/>
          <w:sz w:val="14"/>
          <w:szCs w:val="14"/>
        </w:rPr>
      </w:pPr>
      <w:r>
        <w:rPr>
          <w:rStyle w:val="7"/>
          <w:rFonts w:hint="eastAsia" w:ascii="宋体" w:hAnsi="宋体" w:eastAsia="宋体" w:cs="宋体"/>
          <w:i w:val="0"/>
          <w:iCs w:val="0"/>
          <w:caps w:val="0"/>
          <w:color w:val="333333"/>
          <w:spacing w:val="0"/>
          <w:sz w:val="16"/>
          <w:szCs w:val="16"/>
          <w:bdr w:val="none" w:color="auto" w:sz="0" w:space="0"/>
          <w:shd w:val="clear" w:fill="FFFFFF"/>
        </w:rPr>
        <w:t>   石油与天然气工程学院、能源学院</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   石油与天然气工程学院、能源学院是常州大学最具油气特色的研究型学院，前身可追溯到1987年创办的油气储运工程专业和热能工程专业（2010年成立石油工程学院、2021年成立能源学院、2022年更名为石油与天然气工程学院、能源学院）。学院紧密围绕石油石化、新能源等领域，倾力打造“石油与天然气+新能源+人工智能”特色的新时代能源发展模式，积极践行国家“双碳”战略，致力于培养服务国家能源发展需求的高素质优秀专业人才。</w:t>
      </w:r>
    </w:p>
    <w:p>
      <w:pPr>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175"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kern w:val="0"/>
          <w:sz w:val="14"/>
          <w:szCs w:val="14"/>
          <w:bdr w:val="none" w:color="auto" w:sz="0" w:space="0"/>
          <w:shd w:val="clear" w:fill="FFFFFF"/>
          <w:lang w:val="en-US" w:eastAsia="zh-CN" w:bidi="ar"/>
        </w:rPr>
        <w:drawing>
          <wp:inline distT="0" distB="0" distL="114300" distR="114300">
            <wp:extent cx="5295900" cy="2533650"/>
            <wp:effectExtent l="0" t="0" r="0" b="6350"/>
            <wp:docPr id="3"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IMG_257"/>
                    <pic:cNvPicPr>
                      <a:picLocks noChangeAspect="1"/>
                    </pic:cNvPicPr>
                  </pic:nvPicPr>
                  <pic:blipFill>
                    <a:blip r:embed="rId5"/>
                    <a:stretch>
                      <a:fillRect/>
                    </a:stretch>
                  </pic:blipFill>
                  <pic:spPr>
                    <a:xfrm>
                      <a:off x="0" y="0"/>
                      <a:ext cx="5295900" cy="2533650"/>
                    </a:xfrm>
                    <a:prstGeom prst="rect">
                      <a:avLst/>
                    </a:prstGeom>
                    <a:noFill/>
                    <a:ln w="9525">
                      <a:noFill/>
                    </a:ln>
                  </pic:spPr>
                </pic:pic>
              </a:graphicData>
            </a:graphic>
          </wp:inline>
        </w:drawing>
      </w:r>
      <w:r>
        <w:rPr>
          <w:rFonts w:hint="eastAsia" w:ascii="宋体" w:hAnsi="宋体" w:eastAsia="宋体" w:cs="宋体"/>
          <w:b w:val="0"/>
          <w:bCs w:val="0"/>
          <w:i w:val="0"/>
          <w:iCs w:val="0"/>
          <w:caps w:val="0"/>
          <w:color w:val="333333"/>
          <w:spacing w:val="0"/>
          <w:kern w:val="0"/>
          <w:sz w:val="16"/>
          <w:szCs w:val="16"/>
          <w:bdr w:val="none" w:color="auto" w:sz="0" w:space="0"/>
          <w:shd w:val="clear" w:fill="FFFFFF"/>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175"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kern w:val="0"/>
          <w:sz w:val="14"/>
          <w:szCs w:val="14"/>
          <w:bdr w:val="none" w:color="auto" w:sz="0" w:space="0"/>
          <w:shd w:val="clear" w:fill="FFFFFF"/>
          <w:lang w:val="en-US" w:eastAsia="zh-CN" w:bidi="ar"/>
        </w:rPr>
        <w:t>图1 学院大楼</w:t>
      </w:r>
    </w:p>
    <w:p>
      <w:pPr>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175" w:lineRule="atLeast"/>
        <w:ind w:left="0" w:right="0" w:firstLine="32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kern w:val="0"/>
          <w:sz w:val="16"/>
          <w:szCs w:val="16"/>
          <w:bdr w:val="none" w:color="auto" w:sz="0" w:space="0"/>
          <w:shd w:val="clear" w:fill="FFFFFF"/>
          <w:lang w:val="en-US" w:eastAsia="zh-CN" w:bidi="ar"/>
        </w:rPr>
        <w:t>学院现拥有石油与天然气工程、动力工程及工程热物理两个一级学科硕士学位授权点，资源与环境、能源动力两个工程硕士专业学位授权点。石油与天然气工程和动力工程及工程热物理两个一级学科是江苏省“十二五”、“十三五”和“十四五”重点学科。能源与动力工程是国家一流专业，油气储运工程是江苏省重点专业和省一流专业，石油工程是江苏省一流专业。</w:t>
      </w:r>
    </w:p>
    <w:p>
      <w:pPr>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175" w:lineRule="atLeast"/>
        <w:ind w:left="0" w:right="0" w:firstLine="32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kern w:val="0"/>
          <w:sz w:val="16"/>
          <w:szCs w:val="16"/>
          <w:bdr w:val="none" w:color="auto" w:sz="0" w:space="0"/>
          <w:shd w:val="clear" w:fill="FFFFFF"/>
          <w:lang w:val="en-US" w:eastAsia="zh-CN" w:bidi="ar"/>
        </w:rPr>
        <w:t>学院具有雄厚师资力量。现有教职工</w:t>
      </w:r>
      <w:r>
        <w:rPr>
          <w:rFonts w:ascii="Times New Roman" w:hAnsi="Times New Roman" w:eastAsia="宋体" w:cs="Times New Roman"/>
          <w:b w:val="0"/>
          <w:bCs w:val="0"/>
          <w:i w:val="0"/>
          <w:iCs w:val="0"/>
          <w:caps w:val="0"/>
          <w:color w:val="333333"/>
          <w:spacing w:val="0"/>
          <w:kern w:val="0"/>
          <w:sz w:val="16"/>
          <w:szCs w:val="16"/>
          <w:bdr w:val="none" w:color="auto" w:sz="0" w:space="0"/>
          <w:shd w:val="clear" w:fill="FFFFFF"/>
          <w:lang w:val="en-US" w:eastAsia="zh-CN" w:bidi="ar"/>
        </w:rPr>
        <w:t>117</w:t>
      </w:r>
      <w:r>
        <w:rPr>
          <w:rFonts w:hint="eastAsia" w:ascii="宋体" w:hAnsi="宋体" w:eastAsia="宋体" w:cs="宋体"/>
          <w:b w:val="0"/>
          <w:bCs w:val="0"/>
          <w:i w:val="0"/>
          <w:iCs w:val="0"/>
          <w:caps w:val="0"/>
          <w:color w:val="333333"/>
          <w:spacing w:val="0"/>
          <w:kern w:val="0"/>
          <w:sz w:val="16"/>
          <w:szCs w:val="16"/>
          <w:bdr w:val="none" w:color="auto" w:sz="0" w:space="0"/>
          <w:shd w:val="clear" w:fill="FFFFFF"/>
          <w:lang w:val="en-US" w:eastAsia="zh-CN" w:bidi="ar"/>
        </w:rPr>
        <w:t>人，其中专任教师</w:t>
      </w:r>
      <w:r>
        <w:rPr>
          <w:rFonts w:hint="default" w:ascii="Times New Roman" w:hAnsi="Times New Roman" w:eastAsia="宋体" w:cs="Times New Roman"/>
          <w:b w:val="0"/>
          <w:bCs w:val="0"/>
          <w:i w:val="0"/>
          <w:iCs w:val="0"/>
          <w:caps w:val="0"/>
          <w:color w:val="333333"/>
          <w:spacing w:val="0"/>
          <w:kern w:val="0"/>
          <w:sz w:val="16"/>
          <w:szCs w:val="16"/>
          <w:bdr w:val="none" w:color="auto" w:sz="0" w:space="0"/>
          <w:shd w:val="clear" w:fill="FFFFFF"/>
          <w:lang w:val="en-US" w:eastAsia="zh-CN" w:bidi="ar"/>
        </w:rPr>
        <w:t>100</w:t>
      </w:r>
      <w:r>
        <w:rPr>
          <w:rFonts w:hint="eastAsia" w:ascii="宋体" w:hAnsi="宋体" w:eastAsia="宋体" w:cs="宋体"/>
          <w:b w:val="0"/>
          <w:bCs w:val="0"/>
          <w:i w:val="0"/>
          <w:iCs w:val="0"/>
          <w:caps w:val="0"/>
          <w:color w:val="333333"/>
          <w:spacing w:val="0"/>
          <w:kern w:val="0"/>
          <w:sz w:val="16"/>
          <w:szCs w:val="16"/>
          <w:bdr w:val="none" w:color="auto" w:sz="0" w:space="0"/>
          <w:shd w:val="clear" w:fill="FFFFFF"/>
          <w:lang w:val="en-US" w:eastAsia="zh-CN" w:bidi="ar"/>
        </w:rPr>
        <w:t>余人。教师队伍中</w:t>
      </w:r>
      <w:r>
        <w:rPr>
          <w:rFonts w:hint="default" w:ascii="Times New Roman" w:hAnsi="Times New Roman" w:eastAsia="宋体" w:cs="Times New Roman"/>
          <w:b w:val="0"/>
          <w:bCs w:val="0"/>
          <w:i w:val="0"/>
          <w:iCs w:val="0"/>
          <w:caps w:val="0"/>
          <w:color w:val="333333"/>
          <w:spacing w:val="0"/>
          <w:kern w:val="0"/>
          <w:sz w:val="16"/>
          <w:szCs w:val="16"/>
          <w:bdr w:val="none" w:color="auto" w:sz="0" w:space="0"/>
          <w:shd w:val="clear" w:fill="FFFFFF"/>
          <w:lang w:val="en-US" w:eastAsia="zh-CN" w:bidi="ar"/>
        </w:rPr>
        <w:t>90%</w:t>
      </w:r>
      <w:r>
        <w:rPr>
          <w:rFonts w:hint="eastAsia" w:ascii="宋体" w:hAnsi="宋体" w:eastAsia="宋体" w:cs="宋体"/>
          <w:b w:val="0"/>
          <w:bCs w:val="0"/>
          <w:i w:val="0"/>
          <w:iCs w:val="0"/>
          <w:caps w:val="0"/>
          <w:color w:val="333333"/>
          <w:spacing w:val="0"/>
          <w:kern w:val="0"/>
          <w:sz w:val="16"/>
          <w:szCs w:val="16"/>
          <w:bdr w:val="none" w:color="auto" w:sz="0" w:space="0"/>
          <w:shd w:val="clear" w:fill="FFFFFF"/>
          <w:lang w:val="en-US" w:eastAsia="zh-CN" w:bidi="ar"/>
        </w:rPr>
        <w:t>以上具有博士学位，</w:t>
      </w:r>
      <w:r>
        <w:rPr>
          <w:rFonts w:hint="default" w:ascii="Times New Roman" w:hAnsi="Times New Roman" w:eastAsia="宋体" w:cs="Times New Roman"/>
          <w:b w:val="0"/>
          <w:bCs w:val="0"/>
          <w:i w:val="0"/>
          <w:iCs w:val="0"/>
          <w:caps w:val="0"/>
          <w:color w:val="333333"/>
          <w:spacing w:val="0"/>
          <w:kern w:val="0"/>
          <w:sz w:val="16"/>
          <w:szCs w:val="16"/>
          <w:bdr w:val="none" w:color="auto" w:sz="0" w:space="0"/>
          <w:shd w:val="clear" w:fill="FFFFFF"/>
          <w:lang w:val="en-US" w:eastAsia="zh-CN" w:bidi="ar"/>
        </w:rPr>
        <w:t>80%</w:t>
      </w:r>
      <w:r>
        <w:rPr>
          <w:rFonts w:hint="eastAsia" w:ascii="宋体" w:hAnsi="宋体" w:eastAsia="宋体" w:cs="宋体"/>
          <w:b w:val="0"/>
          <w:bCs w:val="0"/>
          <w:i w:val="0"/>
          <w:iCs w:val="0"/>
          <w:caps w:val="0"/>
          <w:color w:val="333333"/>
          <w:spacing w:val="0"/>
          <w:kern w:val="0"/>
          <w:sz w:val="16"/>
          <w:szCs w:val="16"/>
          <w:bdr w:val="none" w:color="auto" w:sz="0" w:space="0"/>
          <w:shd w:val="clear" w:fill="FFFFFF"/>
          <w:lang w:val="en-US" w:eastAsia="zh-CN" w:bidi="ar"/>
        </w:rPr>
        <w:t>具有企业工作经历，</w:t>
      </w:r>
      <w:r>
        <w:rPr>
          <w:rFonts w:hint="default" w:ascii="Times New Roman" w:hAnsi="Times New Roman" w:eastAsia="宋体" w:cs="Times New Roman"/>
          <w:b w:val="0"/>
          <w:bCs w:val="0"/>
          <w:i w:val="0"/>
          <w:iCs w:val="0"/>
          <w:caps w:val="0"/>
          <w:color w:val="333333"/>
          <w:spacing w:val="0"/>
          <w:kern w:val="0"/>
          <w:sz w:val="16"/>
          <w:szCs w:val="16"/>
          <w:bdr w:val="none" w:color="auto" w:sz="0" w:space="0"/>
          <w:shd w:val="clear" w:fill="FFFFFF"/>
          <w:lang w:val="en-US" w:eastAsia="zh-CN" w:bidi="ar"/>
        </w:rPr>
        <w:t>50%</w:t>
      </w:r>
      <w:r>
        <w:rPr>
          <w:rFonts w:hint="eastAsia" w:ascii="宋体" w:hAnsi="宋体" w:eastAsia="宋体" w:cs="宋体"/>
          <w:b w:val="0"/>
          <w:bCs w:val="0"/>
          <w:i w:val="0"/>
          <w:iCs w:val="0"/>
          <w:caps w:val="0"/>
          <w:color w:val="333333"/>
          <w:spacing w:val="0"/>
          <w:kern w:val="0"/>
          <w:sz w:val="16"/>
          <w:szCs w:val="16"/>
          <w:bdr w:val="none" w:color="auto" w:sz="0" w:space="0"/>
          <w:shd w:val="clear" w:fill="FFFFFF"/>
          <w:lang w:val="en-US" w:eastAsia="zh-CN" w:bidi="ar"/>
        </w:rPr>
        <w:t>以上具有高级职称，</w:t>
      </w:r>
      <w:r>
        <w:rPr>
          <w:rFonts w:hint="default" w:ascii="Times New Roman" w:hAnsi="Times New Roman" w:eastAsia="宋体" w:cs="Times New Roman"/>
          <w:b w:val="0"/>
          <w:bCs w:val="0"/>
          <w:i w:val="0"/>
          <w:iCs w:val="0"/>
          <w:caps w:val="0"/>
          <w:color w:val="333333"/>
          <w:spacing w:val="0"/>
          <w:kern w:val="0"/>
          <w:sz w:val="16"/>
          <w:szCs w:val="16"/>
          <w:bdr w:val="none" w:color="auto" w:sz="0" w:space="0"/>
          <w:shd w:val="clear" w:fill="FFFFFF"/>
          <w:lang w:val="en-US" w:eastAsia="zh-CN" w:bidi="ar"/>
        </w:rPr>
        <w:t>20%</w:t>
      </w:r>
      <w:r>
        <w:rPr>
          <w:rFonts w:hint="eastAsia" w:ascii="宋体" w:hAnsi="宋体" w:eastAsia="宋体" w:cs="宋体"/>
          <w:b w:val="0"/>
          <w:bCs w:val="0"/>
          <w:i w:val="0"/>
          <w:iCs w:val="0"/>
          <w:caps w:val="0"/>
          <w:color w:val="333333"/>
          <w:spacing w:val="0"/>
          <w:kern w:val="0"/>
          <w:sz w:val="16"/>
          <w:szCs w:val="16"/>
          <w:bdr w:val="none" w:color="auto" w:sz="0" w:space="0"/>
          <w:shd w:val="clear" w:fill="FFFFFF"/>
          <w:lang w:val="en-US" w:eastAsia="zh-CN" w:bidi="ar"/>
        </w:rPr>
        <w:t>以上具有省部级以上高层次人才荣誉称号。</w:t>
      </w:r>
    </w:p>
    <w:p>
      <w:pPr>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175" w:lineRule="atLeast"/>
        <w:ind w:left="0" w:right="0" w:firstLine="32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kern w:val="0"/>
          <w:sz w:val="16"/>
          <w:szCs w:val="16"/>
          <w:bdr w:val="none" w:color="auto" w:sz="0" w:space="0"/>
          <w:shd w:val="clear" w:fill="FFFFFF"/>
          <w:lang w:val="en-US" w:eastAsia="zh-CN" w:bidi="ar"/>
        </w:rPr>
        <w:t>学院具有良好的教学、科研条件。现有国家级科研教学平台3个，省部级科研教学平台7个；实验室占地面积共10000余平方米，配备有钻井、采油、油气集输等上中游全链条数字模拟仿真系统；同时，学院还拥有核磁共振岩心分析仪、直流式风洞、高温高压可视化流变仪、高温高压差式扫描量热仪等高端科研仪器，可全力保障研究生的高质量科研工作需求。</w:t>
      </w:r>
    </w:p>
    <w:p>
      <w:pPr>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175"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kern w:val="0"/>
          <w:sz w:val="14"/>
          <w:szCs w:val="14"/>
          <w:bdr w:val="none" w:color="auto" w:sz="0" w:space="0"/>
          <w:shd w:val="clear" w:fill="FFFFFF"/>
          <w:lang w:val="en-US" w:eastAsia="zh-CN" w:bidi="ar"/>
        </w:rPr>
        <w:drawing>
          <wp:inline distT="0" distB="0" distL="114300" distR="114300">
            <wp:extent cx="2552700" cy="1905000"/>
            <wp:effectExtent l="0" t="0" r="0" b="0"/>
            <wp:docPr id="5"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IMG_258"/>
                    <pic:cNvPicPr>
                      <a:picLocks noChangeAspect="1"/>
                    </pic:cNvPicPr>
                  </pic:nvPicPr>
                  <pic:blipFill>
                    <a:blip r:embed="rId6"/>
                    <a:stretch>
                      <a:fillRect/>
                    </a:stretch>
                  </pic:blipFill>
                  <pic:spPr>
                    <a:xfrm>
                      <a:off x="0" y="0"/>
                      <a:ext cx="2552700" cy="1905000"/>
                    </a:xfrm>
                    <a:prstGeom prst="rect">
                      <a:avLst/>
                    </a:prstGeom>
                    <a:noFill/>
                    <a:ln w="9525">
                      <a:noFill/>
                    </a:ln>
                  </pic:spPr>
                </pic:pic>
              </a:graphicData>
            </a:graphic>
          </wp:inline>
        </w:drawing>
      </w:r>
      <w:r>
        <w:rPr>
          <w:rFonts w:hint="eastAsia" w:ascii="宋体" w:hAnsi="宋体" w:eastAsia="宋体" w:cs="宋体"/>
          <w:b w:val="0"/>
          <w:bCs w:val="0"/>
          <w:i w:val="0"/>
          <w:iCs w:val="0"/>
          <w:caps w:val="0"/>
          <w:color w:val="333333"/>
          <w:spacing w:val="0"/>
          <w:kern w:val="0"/>
          <w:sz w:val="14"/>
          <w:szCs w:val="14"/>
          <w:bdr w:val="none" w:color="auto" w:sz="0" w:space="0"/>
          <w:shd w:val="clear" w:fill="FFFFFF"/>
          <w:lang w:val="en-US" w:eastAsia="zh-CN" w:bidi="ar"/>
        </w:rPr>
        <w:drawing>
          <wp:inline distT="0" distB="0" distL="114300" distR="114300">
            <wp:extent cx="2524125" cy="1914525"/>
            <wp:effectExtent l="0" t="0" r="3175" b="3175"/>
            <wp:docPr id="6"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IMG_259"/>
                    <pic:cNvPicPr>
                      <a:picLocks noChangeAspect="1"/>
                    </pic:cNvPicPr>
                  </pic:nvPicPr>
                  <pic:blipFill>
                    <a:blip r:embed="rId7"/>
                    <a:stretch>
                      <a:fillRect/>
                    </a:stretch>
                  </pic:blipFill>
                  <pic:spPr>
                    <a:xfrm>
                      <a:off x="0" y="0"/>
                      <a:ext cx="2524125" cy="1914525"/>
                    </a:xfrm>
                    <a:prstGeom prst="rect">
                      <a:avLst/>
                    </a:prstGeom>
                    <a:noFill/>
                    <a:ln w="9525">
                      <a:noFill/>
                    </a:ln>
                  </pic:spPr>
                </pic:pic>
              </a:graphicData>
            </a:graphic>
          </wp:inline>
        </w:drawing>
      </w:r>
      <w:r>
        <w:rPr>
          <w:rFonts w:hint="eastAsia" w:ascii="宋体" w:hAnsi="宋体" w:eastAsia="宋体" w:cs="宋体"/>
          <w:b w:val="0"/>
          <w:bCs w:val="0"/>
          <w:i w:val="0"/>
          <w:iCs w:val="0"/>
          <w:caps w:val="0"/>
          <w:color w:val="333333"/>
          <w:spacing w:val="0"/>
          <w:kern w:val="0"/>
          <w:sz w:val="16"/>
          <w:szCs w:val="16"/>
          <w:bdr w:val="none" w:color="auto" w:sz="0" w:space="0"/>
          <w:shd w:val="clear" w:fill="FFFFFF"/>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175"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kern w:val="0"/>
          <w:sz w:val="14"/>
          <w:szCs w:val="14"/>
          <w:bdr w:val="none" w:color="auto" w:sz="0" w:space="0"/>
          <w:shd w:val="clear" w:fill="FFFFFF"/>
          <w:lang w:val="en-US" w:eastAsia="zh-CN" w:bidi="ar"/>
        </w:rPr>
        <w:t>图2 学院教学与科研平台</w:t>
      </w:r>
    </w:p>
    <w:p>
      <w:pPr>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175" w:lineRule="atLeast"/>
        <w:ind w:left="0" w:right="0" w:firstLine="32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kern w:val="0"/>
          <w:sz w:val="16"/>
          <w:szCs w:val="16"/>
          <w:bdr w:val="none" w:color="auto" w:sz="0" w:space="0"/>
          <w:shd w:val="clear" w:fill="FFFFFF"/>
          <w:lang w:val="en-US" w:eastAsia="zh-CN" w:bidi="ar"/>
        </w:rPr>
        <w:t>学院具有显著科研成果。学院近年来承担国家级项目35项，省部级项目30余项；发表高水平学术论文1000余篇，出版专著10部；申请国家发明专利680余项，其中已授权国家发明专利300余项。荣获得国家技术发明二等奖1项、国家科技进步二等奖1项、国家能源科技进步二等奖1项，省部级奖项20余项。</w:t>
      </w:r>
    </w:p>
    <w:p>
      <w:pPr>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175" w:lineRule="atLeast"/>
        <w:ind w:left="0" w:right="0" w:firstLine="32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kern w:val="0"/>
          <w:sz w:val="16"/>
          <w:szCs w:val="16"/>
          <w:bdr w:val="none" w:color="auto" w:sz="0" w:space="0"/>
          <w:shd w:val="clear" w:fill="FFFFFF"/>
          <w:lang w:val="en-US" w:eastAsia="zh-CN" w:bidi="ar"/>
        </w:rPr>
        <w:t>学院毕业生具有良好的就业前景。在现今毕业生就业市场竞争日益激烈的情况下，学院研究生每年就业率达到</w:t>
      </w:r>
      <w:r>
        <w:rPr>
          <w:rFonts w:hint="default" w:ascii="Times New Roman" w:hAnsi="Times New Roman" w:eastAsia="宋体" w:cs="Times New Roman"/>
          <w:b w:val="0"/>
          <w:bCs w:val="0"/>
          <w:i w:val="0"/>
          <w:iCs w:val="0"/>
          <w:caps w:val="0"/>
          <w:color w:val="333333"/>
          <w:spacing w:val="0"/>
          <w:kern w:val="0"/>
          <w:sz w:val="16"/>
          <w:szCs w:val="16"/>
          <w:bdr w:val="none" w:color="auto" w:sz="0" w:space="0"/>
          <w:shd w:val="clear" w:fill="FFFFFF"/>
          <w:lang w:val="en-US" w:eastAsia="zh-CN" w:bidi="ar"/>
        </w:rPr>
        <w:t>98%</w:t>
      </w:r>
      <w:r>
        <w:rPr>
          <w:rFonts w:hint="eastAsia" w:ascii="宋体" w:hAnsi="宋体" w:eastAsia="宋体" w:cs="宋体"/>
          <w:b w:val="0"/>
          <w:bCs w:val="0"/>
          <w:i w:val="0"/>
          <w:iCs w:val="0"/>
          <w:caps w:val="0"/>
          <w:color w:val="333333"/>
          <w:spacing w:val="0"/>
          <w:kern w:val="0"/>
          <w:sz w:val="16"/>
          <w:szCs w:val="16"/>
          <w:bdr w:val="none" w:color="auto" w:sz="0" w:space="0"/>
          <w:shd w:val="clear" w:fill="FFFFFF"/>
          <w:lang w:val="en-US" w:eastAsia="zh-CN" w:bidi="ar"/>
        </w:rPr>
        <w:t>以上，名列学校前茅；学院硕士研究生继续深造直攻博或考博比例逐年递增。（</w:t>
      </w:r>
      <w:r>
        <w:rPr>
          <w:rFonts w:hint="default" w:ascii="Times New Roman" w:hAnsi="Times New Roman" w:eastAsia="宋体" w:cs="Times New Roman"/>
          <w:b w:val="0"/>
          <w:bCs w:val="0"/>
          <w:i w:val="0"/>
          <w:iCs w:val="0"/>
          <w:caps w:val="0"/>
          <w:color w:val="333333"/>
          <w:spacing w:val="0"/>
          <w:kern w:val="0"/>
          <w:sz w:val="16"/>
          <w:szCs w:val="16"/>
          <w:bdr w:val="none" w:color="auto" w:sz="0" w:space="0"/>
          <w:shd w:val="clear" w:fill="FFFFFF"/>
          <w:lang w:val="en-US" w:eastAsia="zh-CN" w:bidi="ar"/>
        </w:rPr>
        <w:t>2022</w:t>
      </w:r>
      <w:r>
        <w:rPr>
          <w:rFonts w:hint="eastAsia" w:ascii="宋体" w:hAnsi="宋体" w:eastAsia="宋体" w:cs="宋体"/>
          <w:b w:val="0"/>
          <w:bCs w:val="0"/>
          <w:i w:val="0"/>
          <w:iCs w:val="0"/>
          <w:caps w:val="0"/>
          <w:color w:val="333333"/>
          <w:spacing w:val="0"/>
          <w:kern w:val="0"/>
          <w:sz w:val="16"/>
          <w:szCs w:val="16"/>
          <w:bdr w:val="none" w:color="auto" w:sz="0" w:space="0"/>
          <w:shd w:val="clear" w:fill="FFFFFF"/>
          <w:lang w:val="en-US" w:eastAsia="zh-CN" w:bidi="ar"/>
        </w:rPr>
        <w:t>）</w:t>
      </w:r>
    </w:p>
    <w:p>
      <w:pPr>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175"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kern w:val="0"/>
          <w:sz w:val="14"/>
          <w:szCs w:val="14"/>
          <w:bdr w:val="none" w:color="auto" w:sz="0" w:space="0"/>
          <w:shd w:val="clear" w:fill="FFFFFF"/>
          <w:lang w:val="en-US" w:eastAsia="zh-CN" w:bidi="ar"/>
        </w:rPr>
        <w:drawing>
          <wp:inline distT="0" distB="0" distL="114300" distR="114300">
            <wp:extent cx="2705100" cy="1676400"/>
            <wp:effectExtent l="0" t="0" r="0" b="0"/>
            <wp:docPr id="1" name="图片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descr="IMG_260"/>
                    <pic:cNvPicPr>
                      <a:picLocks noChangeAspect="1"/>
                    </pic:cNvPicPr>
                  </pic:nvPicPr>
                  <pic:blipFill>
                    <a:blip r:embed="rId8"/>
                    <a:stretch>
                      <a:fillRect/>
                    </a:stretch>
                  </pic:blipFill>
                  <pic:spPr>
                    <a:xfrm>
                      <a:off x="0" y="0"/>
                      <a:ext cx="2705100" cy="1676400"/>
                    </a:xfrm>
                    <a:prstGeom prst="rect">
                      <a:avLst/>
                    </a:prstGeom>
                    <a:noFill/>
                    <a:ln w="9525">
                      <a:noFill/>
                    </a:ln>
                  </pic:spPr>
                </pic:pic>
              </a:graphicData>
            </a:graphic>
          </wp:inline>
        </w:drawing>
      </w:r>
      <w:r>
        <w:rPr>
          <w:rFonts w:hint="eastAsia" w:ascii="宋体" w:hAnsi="宋体" w:eastAsia="宋体" w:cs="宋体"/>
          <w:b w:val="0"/>
          <w:bCs w:val="0"/>
          <w:i w:val="0"/>
          <w:iCs w:val="0"/>
          <w:caps w:val="0"/>
          <w:color w:val="333333"/>
          <w:spacing w:val="0"/>
          <w:kern w:val="0"/>
          <w:sz w:val="14"/>
          <w:szCs w:val="14"/>
          <w:bdr w:val="none" w:color="auto" w:sz="0" w:space="0"/>
          <w:shd w:val="clear" w:fill="FFFFFF"/>
          <w:lang w:val="en-US" w:eastAsia="zh-CN" w:bidi="ar"/>
        </w:rPr>
        <w:drawing>
          <wp:inline distT="0" distB="0" distL="114300" distR="114300">
            <wp:extent cx="2705100" cy="1752600"/>
            <wp:effectExtent l="0" t="0" r="0" b="0"/>
            <wp:docPr id="2" name="图片 6"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descr="IMG_261"/>
                    <pic:cNvPicPr>
                      <a:picLocks noChangeAspect="1"/>
                    </pic:cNvPicPr>
                  </pic:nvPicPr>
                  <pic:blipFill>
                    <a:blip r:embed="rId9"/>
                    <a:stretch>
                      <a:fillRect/>
                    </a:stretch>
                  </pic:blipFill>
                  <pic:spPr>
                    <a:xfrm>
                      <a:off x="0" y="0"/>
                      <a:ext cx="2705100" cy="1752600"/>
                    </a:xfrm>
                    <a:prstGeom prst="rect">
                      <a:avLst/>
                    </a:prstGeom>
                    <a:noFill/>
                    <a:ln w="9525">
                      <a:noFill/>
                    </a:ln>
                  </pic:spPr>
                </pic:pic>
              </a:graphicData>
            </a:graphic>
          </wp:inline>
        </w:drawing>
      </w:r>
      <w:r>
        <w:rPr>
          <w:rFonts w:hint="eastAsia" w:ascii="宋体" w:hAnsi="宋体" w:eastAsia="宋体" w:cs="宋体"/>
          <w:b w:val="0"/>
          <w:bCs w:val="0"/>
          <w:i w:val="0"/>
          <w:iCs w:val="0"/>
          <w:caps w:val="0"/>
          <w:color w:val="333333"/>
          <w:spacing w:val="0"/>
          <w:kern w:val="0"/>
          <w:sz w:val="16"/>
          <w:szCs w:val="16"/>
          <w:bdr w:val="none" w:color="auto" w:sz="0" w:space="0"/>
          <w:shd w:val="clear" w:fill="FFFFFF"/>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150" w:afterAutospacing="0" w:line="175" w:lineRule="atLeast"/>
        <w:ind w:left="0" w:right="0"/>
        <w:jc w:val="center"/>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kern w:val="0"/>
          <w:sz w:val="14"/>
          <w:szCs w:val="14"/>
          <w:bdr w:val="none" w:color="auto" w:sz="0" w:space="0"/>
          <w:shd w:val="clear" w:fill="FFFFFF"/>
          <w:lang w:val="en-US" w:eastAsia="zh-CN" w:bidi="ar"/>
        </w:rPr>
        <w:t>图3 学院毕业生就业单位分布情况</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 </w:t>
      </w:r>
    </w:p>
    <w:p>
      <w:pPr>
        <w:pStyle w:val="4"/>
        <w:keepNext w:val="0"/>
        <w:keepLines w:val="0"/>
        <w:widowControl/>
        <w:suppressLineNumbers w:val="0"/>
        <w:pBdr>
          <w:top w:val="none" w:color="auto" w:sz="0" w:space="0"/>
          <w:left w:val="none" w:color="auto" w:sz="0" w:space="0"/>
          <w:bottom w:val="none" w:color="auto" w:sz="0" w:space="0"/>
          <w:right w:val="none" w:color="auto" w:sz="0" w:space="0"/>
        </w:pBdr>
        <w:spacing w:before="30" w:beforeAutospacing="0" w:after="0" w:afterAutospacing="0" w:line="250" w:lineRule="atLeast"/>
        <w:ind w:left="0" w:right="0" w:firstLine="390"/>
        <w:jc w:val="left"/>
        <w:rPr>
          <w:rFonts w:hint="eastAsia" w:ascii="宋体" w:hAnsi="宋体" w:eastAsia="宋体" w:cs="宋体"/>
          <w:b w:val="0"/>
          <w:bCs w:val="0"/>
          <w:sz w:val="14"/>
          <w:szCs w:val="14"/>
        </w:rPr>
      </w:pPr>
      <w:r>
        <w:rPr>
          <w:rFonts w:hint="eastAsia" w:ascii="宋体" w:hAnsi="宋体" w:eastAsia="宋体" w:cs="宋体"/>
          <w:b w:val="0"/>
          <w:bCs w:val="0"/>
          <w:i w:val="0"/>
          <w:iCs w:val="0"/>
          <w:caps w:val="0"/>
          <w:color w:val="333333"/>
          <w:spacing w:val="0"/>
          <w:sz w:val="16"/>
          <w:szCs w:val="16"/>
          <w:bdr w:val="none" w:color="auto" w:sz="0" w:space="0"/>
          <w:shd w:val="clear" w:fill="FFFFFF"/>
        </w:rPr>
        <w:t> </w:t>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Verdana">
    <w:panose1 w:val="020B0604030504040204"/>
    <w:charset w:val="00"/>
    <w:family w:val="auto"/>
    <w:pitch w:val="default"/>
    <w:sig w:usb0="A00006FF" w:usb1="4000205B" w:usb2="00000010" w:usb3="00000000" w:csb0="2000019F" w:csb1="00000000"/>
  </w:font>
  <w:font w:name="Microsoft YaHei UI">
    <w:panose1 w:val="020B0503020204020204"/>
    <w:charset w:val="86"/>
    <w:family w:val="auto"/>
    <w:pitch w:val="default"/>
    <w:sig w:usb0="80000287" w:usb1="2ACF3C50" w:usb2="00000016" w:usb3="00000000" w:csb0="0004001F" w:csb1="00000000"/>
  </w:font>
  <w:font w:name="arimo">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U3NTdhOWE2ZDAxZjliMmQyOWRiMzUxNTliNWI3ZmUifQ=="/>
  </w:docVars>
  <w:rsids>
    <w:rsidRoot w:val="00000000"/>
    <w:rsid w:val="2005151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paragraph" w:styleId="3">
    <w:name w:val="heading 2"/>
    <w:basedOn w:val="1"/>
    <w:next w:val="1"/>
    <w:semiHidden/>
    <w:unhideWhenUsed/>
    <w:qFormat/>
    <w:uiPriority w:val="0"/>
    <w:pPr>
      <w:spacing w:before="0" w:beforeAutospacing="1" w:after="0" w:afterAutospacing="1"/>
      <w:jc w:val="left"/>
    </w:pPr>
    <w:rPr>
      <w:rFonts w:hint="eastAsia" w:ascii="宋体" w:hAnsi="宋体" w:eastAsia="宋体" w:cs="宋体"/>
      <w:b/>
      <w:bCs/>
      <w:kern w:val="0"/>
      <w:sz w:val="36"/>
      <w:szCs w:val="36"/>
      <w:lang w:val="en-US" w:eastAsia="zh-CN" w:bidi="ar"/>
    </w:rPr>
  </w:style>
  <w:style w:type="character" w:default="1" w:styleId="6">
    <w:name w:val="Default Paragraph Font"/>
    <w:semiHidden/>
    <w:uiPriority w:val="0"/>
  </w:style>
  <w:style w:type="table" w:default="1" w:styleId="5">
    <w:name w:val="Normal Table"/>
    <w:semiHidden/>
    <w:uiPriority w:val="0"/>
    <w:tblPr>
      <w:tblCellMar>
        <w:top w:w="0" w:type="dxa"/>
        <w:left w:w="108" w:type="dxa"/>
        <w:bottom w:w="0" w:type="dxa"/>
        <w:right w:w="108" w:type="dxa"/>
      </w:tblCellMar>
    </w:tblPr>
  </w:style>
  <w:style w:type="paragraph" w:styleId="4">
    <w:name w:val="Normal (Web)"/>
    <w:basedOn w:val="1"/>
    <w:uiPriority w:val="0"/>
    <w:pPr>
      <w:spacing w:before="0" w:beforeAutospacing="1" w:after="0" w:afterAutospacing="1"/>
      <w:ind w:left="0" w:right="0"/>
      <w:jc w:val="left"/>
    </w:pPr>
    <w:rPr>
      <w:kern w:val="0"/>
      <w:sz w:val="24"/>
      <w:lang w:val="en-US" w:eastAsia="zh-CN" w:bidi="ar"/>
    </w:rPr>
  </w:style>
  <w:style w:type="character" w:styleId="7">
    <w:name w:val="Strong"/>
    <w:basedOn w:val="6"/>
    <w:qFormat/>
    <w:uiPriority w:val="0"/>
    <w:rPr>
      <w:b/>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2023-04-02T08:22:13Z</dcterms:created>
  <dc:creator>Administrator</dc:creator>
  <cp:lastModifiedBy>王英</cp:lastModifiedBy>
  <dcterms:modified xsi:type="dcterms:W3CDTF">2023-04-02T08:22:25Z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1AE31C388F6649DAAE753DE8A93F8BCA</vt:lpwstr>
  </property>
</Properties>
</file>