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  <w:vertAlign w:val="baseline"/>
        </w:rPr>
        <w:t>关于公布我校2023年硕士研究生招生复试分数线和复试名单的通知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8"/>
          <w:szCs w:val="18"/>
          <w:bdr w:val="none" w:color="auto" w:sz="0" w:space="0"/>
          <w:vertAlign w:val="baseline"/>
        </w:rPr>
        <w:t>来源： 发布时间 : 2023-03-17 点击量:9015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各位考生：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44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经我校研究生招生工作领导小组审议，确定</w:t>
      </w:r>
      <w:r>
        <w:rPr>
          <w:rFonts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202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年硕士研究生招生复试分数线和复试名单如下：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44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一、</w:t>
      </w: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复试分数线</w:t>
      </w:r>
    </w:p>
    <w:tbl>
      <w:tblPr>
        <w:tblW w:w="6564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95"/>
        <w:gridCol w:w="1987"/>
        <w:gridCol w:w="839"/>
        <w:gridCol w:w="995"/>
        <w:gridCol w:w="94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  <w:tblCellSpacing w:w="0" w:type="dxa"/>
        </w:trPr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bdr w:val="none" w:color="auto" w:sz="0" w:space="0"/>
                <w:vertAlign w:val="baseline"/>
              </w:rPr>
              <w:t>学院</w:t>
            </w:r>
          </w:p>
        </w:tc>
        <w:tc>
          <w:tcPr>
            <w:tcW w:w="199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专业名称</w:t>
            </w: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总分复试线</w:t>
            </w:r>
          </w:p>
        </w:tc>
        <w:tc>
          <w:tcPr>
            <w:tcW w:w="9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单科 （满分=100分）</w:t>
            </w:r>
          </w:p>
        </w:tc>
        <w:tc>
          <w:tcPr>
            <w:tcW w:w="94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单科 （满分&gt;100分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英语语言文学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外国语言学及应用语言学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比较文化研究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外语教学技术与评估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理论经济学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区域经济学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财政学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产业经济学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国际贸易学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劳动经济学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国际商务（其他方向）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国际商务（国际治理方向）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经济贸易学院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税务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国际商务英语学院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外国语言学及应用语言学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国际商务英语学院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商务英语研究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工商管理（学硕）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工商管理（专硕）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167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管理科学与工程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会计学院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会计学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47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会计学院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会计（研究方向01、02）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245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会计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+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小语种创新班（研究方向03）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224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会计学院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审计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197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金融学院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金融学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金融学院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金融工程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金融学院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金融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俄语语言文学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法语语言文学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德语语言文学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西班牙语语言文学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欧洲语言文学（意大利语言文学方向）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欧洲语言文学（波兰语言文学方向）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欧洲语言文学（欧洲文化研究方向）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俄语口译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德语口译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西班牙语口译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394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日语语言文化学院/亚非学院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日语语言文学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日语口译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东方语言文化学院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亚非语言文学（朝鲜语言文学方向）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日语语言文化学院/亚非学院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亚非语言文学（阿拉伯语语言文学方向）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日语语言文化学院/亚非学院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亚非语言文学（一带一路沿线国家研究方向）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朝鲜语口译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东方语言文化学院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亚非语言文学（泰国语言文学方向）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亚非语言文学（越南语言文学方向）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亚非语言文学（东南亚研究方向）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汉语国际教育（汉语国际教育方向）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汉语国际教育（多语种+汉语国际教育方向）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学科教学（语文）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文艺学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语言学及应用语言学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376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中国古代文学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中国现当代文学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比较文学与世界文学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中国语言文化学院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文化传播与媒介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364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宪法学与行政法学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民商法学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诉讼法学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经济法学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国际法学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知识产权法学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法律（非法学）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333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法律（法学）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331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国际关系学院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政治学理论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国际关系学院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国际关系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国际关系学院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外交学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英语教育学院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英语教育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英语教育学院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学科教学（英语）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英语教育学院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教育管理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信息科学与技术学院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网络空间安全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273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信息科学与技术学院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计算机技术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信息科学与技术学院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软件工程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信息科学与技术学院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人工智能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信息科学与技术学院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大数据技术与工程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信息科学与技术学院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网络与信息安全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301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社会管理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心理学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51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社会工作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90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应用心理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353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59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194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公共管理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175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马克思主义学院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马克思主义基本原理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337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马克思主义学院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马克思主义中国化研究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328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马克思主义学院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思想政治教育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330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45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翻译学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英语笔译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英语口译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393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新闻与传播学院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新闻与传播学院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传播学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新闻与传播学院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跨文化传播与国际传播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  <w:tblCellSpacing w:w="0" w:type="dxa"/>
        </w:trPr>
        <w:tc>
          <w:tcPr>
            <w:tcW w:w="18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新闻与传播学院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新闻与传播（研究方向01、02、03）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383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  <w:tblCellSpacing w:w="0" w:type="dxa"/>
        </w:trPr>
        <w:tc>
          <w:tcPr>
            <w:tcW w:w="18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bCs w:val="0"/>
                <w:sz w:val="19"/>
                <w:szCs w:val="19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新闻与传播（研究方向</w:t>
            </w: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04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数学与统计学院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统计学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数学与统计学院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应用统计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广东国际战略研究院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欧洲学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广东国际战略研究院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全球经济治理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346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48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72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词典学研究中心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外国语言学及应用语言学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区域国别研究院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国别和区域研究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363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54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艺术学院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音乐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362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" w:hRule="atLeast"/>
          <w:tblCellSpacing w:w="0" w:type="dxa"/>
        </w:trPr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艺术学院</w:t>
            </w:r>
          </w:p>
        </w:tc>
        <w:tc>
          <w:tcPr>
            <w:tcW w:w="199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艺术设计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369</w:t>
            </w:r>
          </w:p>
        </w:tc>
        <w:tc>
          <w:tcPr>
            <w:tcW w:w="99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40</w:t>
            </w:r>
          </w:p>
        </w:tc>
        <w:tc>
          <w:tcPr>
            <w:tcW w:w="94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default" w:ascii="Times New Roman" w:hAnsi="Times New Roman" w:eastAsia="微软雅黑" w:cs="Times New Roman"/>
                <w:b w:val="0"/>
                <w:bCs w:val="0"/>
                <w:i w:val="0"/>
                <w:iCs w:val="0"/>
                <w:color w:val="000000"/>
                <w:sz w:val="15"/>
                <w:szCs w:val="15"/>
                <w:bdr w:val="none" w:color="auto" w:sz="0" w:space="0"/>
                <w:vertAlign w:val="baseline"/>
              </w:rPr>
              <w:t>60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44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8"/>
          <w:szCs w:val="18"/>
          <w:bdr w:val="none" w:color="auto" w:sz="0" w:space="0"/>
          <w:vertAlign w:val="baseline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44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今年，我校“退役大学生士兵专项计划”进入复试的初试成绩基本要求为总分达到教育部公布的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年全国硕士研究生招生进入复试的初试成绩基本要求（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类）的总分线，单科成绩达到“享受少数民族照顾政策的考生”国家线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类基本要求。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44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Style w:val="8"/>
          <w:rFonts w:hint="eastAsia" w:ascii="宋体" w:hAnsi="宋体" w:eastAsia="宋体" w:cs="宋体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二、复试名单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44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未加分的复试名单详见附件。符合《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年全国硕士研究生招生工作管理规定》等加分政策的考生，将在审核通过后按照规定加分，加分后如达到复试线，则可进入复试。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8"/>
          <w:szCs w:val="18"/>
          <w:bdr w:val="none" w:color="auto" w:sz="0" w:space="0"/>
          <w:vertAlign w:val="baseline"/>
        </w:rPr>
        <w:t>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广东外语外贸大学研究生院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  <w:jc w:val="right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年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月</w:t>
      </w:r>
      <w:r>
        <w:rPr>
          <w:rFonts w:hint="default" w:ascii="Calibri" w:hAnsi="Calibri" w:eastAsia="宋体" w:cs="Calibri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17</w:t>
      </w:r>
      <w:r>
        <w:rPr>
          <w:rFonts w:hint="eastAsia" w:ascii="宋体" w:hAnsi="宋体" w:eastAsia="宋体" w:cs="宋体"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vertAlign w:val="baseline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4633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2023-04-20T01:04:47Z</dcterms:created>
  <dc:creator>DELL</dc:creator>
  <cp:lastModifiedBy>曾经的那个老吴</cp:lastModifiedBy>
  <dcterms:modified xsi:type="dcterms:W3CDTF">2023-04-20T01:04:53Z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55C7FBB5209E4C1CB8ED882A80C83F7E_12</vt:lpwstr>
  </property>
</Properties>
</file>