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/>
        <w:jc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广东工业大学法学院硕士研究生招生调剂通知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hint="eastAsia" w:ascii="微软雅黑" w:hAnsi="微软雅黑" w:eastAsia="微软雅黑" w:cs="微软雅黑"/>
          <w:color w:val="149342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149342"/>
          <w:kern w:val="0"/>
          <w:sz w:val="18"/>
          <w:szCs w:val="18"/>
          <w:bdr w:val="none" w:color="auto" w:sz="0" w:space="0"/>
          <w:lang w:val="en-US" w:eastAsia="zh-CN" w:bidi="ar"/>
        </w:rPr>
        <w:t>时间：2023年04月04日 14:42    阅读： 1066 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根据我院2023年硕士研究生招生复试工作进度，拟在“全国硕士生招生调剂服务系统”（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"https://yz.chsi.com.cn/yztj/" \t "https://law.gdut.edu.cn/info/1074/_blank"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https://yz.chsi.com.cn/yztj/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）开放调剂报名，请考生关注并及时填报。具体如下：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一、接收调剂专业</w:t>
      </w:r>
    </w:p>
    <w:tbl>
      <w:tblPr>
        <w:tblW w:w="508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2292"/>
        <w:gridCol w:w="1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2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  <w:jc w:val="center"/>
        </w:trPr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1202Z3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企业合规风险管理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035200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社会工作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</w:rPr>
              <w:t>非全日制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二、调剂报名时间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2023年4月6日00:00-4月6日15:00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三、调剂报名条件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1.考生第一志愿报考专业要求：调入专业与第一志愿报考专业相同或相近，且在同一学科门类范围内。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  <w:lang w:val="en-US"/>
        </w:rPr>
        <w:t>2.考生初试科目要求：初试科目与调入专业初试科目相同或相近，其中初试全国统一命题科目应与调入专业全国统一命题科目相同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（考生初试统考科目涵盖调入专业所有统考科目的, 视为相同）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1202Z3企业合规风险管理（全日制）的初试科目为：101思想政治理论、201英语（一）、303数学（三）、826管理学；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我校035200社会工作（非全日制）的初试科目为：101思想政治理论、204英语（二）、331社会工作原理、427社会工作实务。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3.考生初试成绩要求：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1202Z3企业合规风险管理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  <w:lang w:val="en-US"/>
        </w:rPr>
        <w:t>（全日制）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初试总分不低于340分，单科不低于47（满分100）/71（满分150）。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035200社会工作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非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全日制）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初试总分不低于350分，单科不低于45（满分100）/68（满分150）。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4.其他要求：满足教育部文件及我校2023年硕士研究生招生考试复试工作方案有关调剂的其它要求。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四、调剂复试名单确定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学院将根据《广东工业大学2023年硕士研究生招生考试调剂工作办法》确定进入调剂复试的考生名单，请留意学院官网4月6日左右发布的有关通知。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五、调剂复试初步安排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1.复试方式：现场复试。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2.复试时间：2023年4月10日-12日。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3.报到及资格审查：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时间：2023年4月10日9：00-12：00（最迟不超过15：00）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地点：广东工业大学龙洞校区实验楼C1-202（法学院专业图书馆）。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4.面试安排：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社会工作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非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全日制）：2023年4月11日 9：00-12：00，13：00-17：00 ，面试具体安排将于当天早上公布，考生需提前约30分钟在指定地点查看。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企业合规风险管理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（全日制）：2023年4月12日9：00-12：00，13：00-17：00，面试具体安排将于当天早上公布，考生需提前约30分钟在指定地点查看。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（3）面试安排查看地点：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广东工业大学龙洞校区实验楼C2-201法学院学生工作办公室外（法学院学生工作公告栏）。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（4）复试其他要求，请考生查看法学院社会工作、企业合规风险管理复试工作方案并提前准备各项材料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4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instrText xml:space="preserve"> HYPERLINK "https://law.gdut.edu.cn/info/1074/5405.htm%EF%BC%89%EF%BC%88https:/law.gdut.edu.cn/info/1074/5404.htm%EF%BC%89%E3%80%82%E5%85%B6%E4%B8%AD%E7%AE%80%E5%8E%86%E5%92%8C%E6%88%90%E7%BB%A9%E5%8D%95%E5%8F%AF%E6%89%93%E5%8D%B07"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4" w:space="0"/>
          <w:shd w:val="clear" w:fill="FFFFFF"/>
          <w:lang w:val="en-US"/>
        </w:rPr>
        <w:t>https://law.gdut.edu.cn/info/1074/5405.htm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t>）（https://law.gdut.edu.cn/info/1074/5404.htm）。其中简历和成绩单可打印7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份左右于面试时交给考官。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4" w:space="0"/>
          <w:shd w:val="clear" w:fill="FFFFFF"/>
        </w:rPr>
        <w:t>若有变动，将另行通知。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五、调剂咨询电话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联系人： 黄老师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联系电话：020-87587974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广东工业大学法学院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 2023年4月4日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A46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1022</Words>
  <Characters>1310</Characters>
  <Lines>0</Lines>
  <Paragraphs>0</Paragraphs>
  <TotalTime>0</TotalTime>
  <ScaleCrop>false</ScaleCrop>
  <LinksUpToDate>false</LinksUpToDate>
  <CharactersWithSpaces>1455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2023-04-18T14:29:43Z</dcterms:created>
  <dc:creator>DELL</dc:creator>
  <cp:lastModifiedBy>曾经的那个老吴</cp:lastModifiedBy>
  <dcterms:modified xsi:type="dcterms:W3CDTF">2023-04-18T14:29:45Z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C7BA2731C2AC4374AC8648B93A05F5A2_12</vt:lpwstr>
  </property>
</Properties>
</file>