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528" w:lineRule="atLeast"/>
        <w:ind w:lef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rPr>
        <w:t>2023年硕士研究生招生调剂公告</w:t>
      </w:r>
    </w:p>
    <w:p>
      <w:pPr>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kern w:val="0"/>
          <w:sz w:val="27"/>
          <w:szCs w:val="27"/>
          <w:lang w:val="en-US" w:eastAsia="zh-CN" w:bidi="ar"/>
        </w:rPr>
        <w:t>2023年04月01日 12:33  点击：[6538]</w:t>
      </w:r>
    </w:p>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7"/>
          <w:szCs w:val="27"/>
        </w:rPr>
        <w:pict>
          <v:rect id="_x0000_i1025" o:spt="1" style="height:1.5pt;width:432pt;" fillcolor="#000000" filled="t" stroked="f" coordsize="21600,21600" o:hr="t" o:hrstd="t" o:hrnoshade="t" o:hralign="center">
            <v:path/>
            <v:fill on="t" focussize="0,0"/>
            <v:stroke on="f"/>
            <v:imagedata o:title=""/>
            <o:lock v:ext="edit"/>
            <w10:wrap type="none"/>
            <w10:anchorlock/>
          </v:rect>
        </w:pic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ascii="仿宋_GB2312" w:hAnsi="仿宋_GB2312" w:eastAsia="仿宋_GB2312" w:cs="仿宋_GB2312"/>
          <w:i w:val="0"/>
          <w:iCs w:val="0"/>
          <w:caps w:val="0"/>
          <w:color w:val="000000"/>
          <w:spacing w:val="12"/>
          <w:sz w:val="25"/>
          <w:szCs w:val="25"/>
        </w:rPr>
        <w:t>我校</w:t>
      </w:r>
      <w:r>
        <w:rPr>
          <w:rFonts w:hint="default" w:ascii="仿宋_GB2312" w:hAnsi="仿宋_GB2312" w:eastAsia="仿宋_GB2312" w:cs="仿宋_GB2312"/>
          <w:i w:val="0"/>
          <w:iCs w:val="0"/>
          <w:caps w:val="0"/>
          <w:color w:val="000000"/>
          <w:spacing w:val="12"/>
          <w:sz w:val="25"/>
          <w:szCs w:val="25"/>
        </w:rPr>
        <w:t>2023年招收首届硕士研究生，欢迎全国各地优秀考生到广东石油化工学院学习深造！现将我校2023年硕士研究生招生调剂情况公告如下：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Style w:val="6"/>
          <w:rFonts w:hint="default" w:ascii="仿宋_GB2312" w:hAnsi="仿宋_GB2312" w:eastAsia="仿宋_GB2312" w:cs="仿宋_GB2312"/>
          <w:i w:val="0"/>
          <w:iCs w:val="0"/>
          <w:caps w:val="0"/>
          <w:color w:val="000000"/>
          <w:spacing w:val="12"/>
          <w:sz w:val="25"/>
          <w:szCs w:val="25"/>
        </w:rPr>
        <w:t>一、拟接收调剂专业</w:t>
      </w:r>
    </w:p>
    <w:tbl>
      <w:tblPr>
        <w:tblStyle w:val="4"/>
        <w:tblW w:w="8292"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85"/>
        <w:gridCol w:w="1699"/>
        <w:gridCol w:w="2110"/>
        <w:gridCol w:w="976"/>
        <w:gridCol w:w="974"/>
        <w:gridCol w:w="16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2" w:hRule="atLeast"/>
          <w:tblCellSpacing w:w="0" w:type="dxa"/>
        </w:trPr>
        <w:tc>
          <w:tcPr>
            <w:tcW w:w="900"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1"/>
                <w:szCs w:val="21"/>
              </w:rPr>
            </w:pPr>
            <w:bookmarkStart w:id="0" w:name="_GoBack"/>
            <w:r>
              <w:rPr>
                <w:rStyle w:val="6"/>
                <w:rFonts w:hint="default" w:ascii="仿宋_GB2312" w:hAnsi="仿宋_GB2312" w:eastAsia="仿宋_GB2312" w:cs="仿宋_GB2312"/>
                <w:sz w:val="21"/>
                <w:szCs w:val="21"/>
              </w:rPr>
              <w:t>类别代码及名称</w:t>
            </w:r>
          </w:p>
        </w:tc>
        <w:tc>
          <w:tcPr>
            <w:tcW w:w="1824" w:type="dxa"/>
            <w:tcBorders>
              <w:top w:val="single" w:color="auto" w:sz="4" w:space="0"/>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1"/>
                <w:szCs w:val="21"/>
              </w:rPr>
            </w:pPr>
            <w:r>
              <w:rPr>
                <w:rStyle w:val="6"/>
                <w:rFonts w:hint="default" w:ascii="仿宋_GB2312" w:hAnsi="仿宋_GB2312" w:eastAsia="仿宋_GB2312" w:cs="仿宋_GB2312"/>
                <w:sz w:val="21"/>
                <w:szCs w:val="21"/>
              </w:rPr>
              <w:t>领域代码及名称</w:t>
            </w:r>
          </w:p>
        </w:tc>
        <w:tc>
          <w:tcPr>
            <w:tcW w:w="2436" w:type="dxa"/>
            <w:tcBorders>
              <w:top w:val="single" w:color="auto" w:sz="4" w:space="0"/>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1"/>
                <w:szCs w:val="21"/>
              </w:rPr>
            </w:pPr>
            <w:r>
              <w:rPr>
                <w:rStyle w:val="6"/>
                <w:rFonts w:hint="default" w:ascii="仿宋_GB2312" w:hAnsi="仿宋_GB2312" w:eastAsia="仿宋_GB2312" w:cs="仿宋_GB2312"/>
                <w:sz w:val="21"/>
                <w:szCs w:val="21"/>
              </w:rPr>
              <w:t>研究方向</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Style w:val="6"/>
                <w:rFonts w:ascii="宋体" w:hAnsi="宋体" w:eastAsia="宋体" w:cs="宋体"/>
                <w:kern w:val="0"/>
                <w:sz w:val="21"/>
                <w:szCs w:val="21"/>
                <w:lang w:val="en-US" w:eastAsia="zh-CN" w:bidi="ar"/>
              </w:rPr>
              <w:t>学习方式</w:t>
            </w:r>
          </w:p>
        </w:tc>
        <w:tc>
          <w:tcPr>
            <w:tcW w:w="1092" w:type="dxa"/>
            <w:tcBorders>
              <w:top w:val="single" w:color="auto" w:sz="4" w:space="0"/>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1"/>
                <w:szCs w:val="21"/>
              </w:rPr>
            </w:pPr>
            <w:r>
              <w:rPr>
                <w:rStyle w:val="6"/>
                <w:rFonts w:hint="default" w:ascii="仿宋_GB2312" w:hAnsi="仿宋_GB2312" w:eastAsia="仿宋_GB2312" w:cs="仿宋_GB2312"/>
                <w:sz w:val="21"/>
                <w:szCs w:val="21"/>
              </w:rPr>
              <w:t>招生学院</w:t>
            </w:r>
          </w:p>
        </w:tc>
        <w:tc>
          <w:tcPr>
            <w:tcW w:w="1296" w:type="dxa"/>
            <w:tcBorders>
              <w:top w:val="single" w:color="auto" w:sz="4" w:space="0"/>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1"/>
                <w:szCs w:val="21"/>
              </w:rPr>
            </w:pPr>
            <w:r>
              <w:rPr>
                <w:rStyle w:val="6"/>
                <w:rFonts w:hint="default" w:ascii="仿宋_GB2312" w:hAnsi="仿宋_GB2312" w:eastAsia="仿宋_GB2312" w:cs="仿宋_GB2312"/>
                <w:sz w:val="21"/>
                <w:szCs w:val="21"/>
              </w:rPr>
              <w:t>招生学院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1"/>
                <w:szCs w:val="21"/>
              </w:rPr>
            </w:pPr>
            <w:r>
              <w:rPr>
                <w:rStyle w:val="6"/>
                <w:rFonts w:hint="default" w:ascii="仿宋_GB2312" w:hAnsi="仿宋_GB2312" w:eastAsia="仿宋_GB2312" w:cs="仿宋_GB2312"/>
                <w:sz w:val="21"/>
                <w:szCs w:val="21"/>
              </w:rPr>
              <w:t>联系方式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6" w:hRule="atLeast"/>
          <w:tblCellSpacing w:w="0" w:type="dxa"/>
        </w:trPr>
        <w:tc>
          <w:tcPr>
            <w:tcW w:w="900" w:type="dxa"/>
            <w:vMerge w:val="restart"/>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085400</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电子信息</w:t>
            </w:r>
          </w:p>
        </w:tc>
        <w:tc>
          <w:tcPr>
            <w:tcW w:w="1824"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085401 新一代电子信息技术（含量子技术等）</w:t>
            </w: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1、信号与信息处理</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2、智能电子信息系统</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3、新一代电子与通信系统技术</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电子信息工程学院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江老师0668-2923762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8"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vMerge w:val="restart"/>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085406 控制工程</w:t>
            </w: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1、故障诊断与智能信息处理</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2、电力拖动自动控制系统</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3、工业过程控制与工程软件</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自动化学院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邵老师15820171170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0"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vMerge w:val="continue"/>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4、装备智能化与安全控制</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5、过程装备自动化与智能运维</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6、智慧能源</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机电工程学院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范老师0668-2923578；15875872132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6"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085408 光电信息工程</w:t>
            </w: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1、光信息传输</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2、光电材料与器件</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理学院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李老师0668-2923901；13692689768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vMerge w:val="restart"/>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085410 人工智能</w:t>
            </w:r>
          </w:p>
        </w:tc>
        <w:tc>
          <w:tcPr>
            <w:tcW w:w="2436" w:type="dxa"/>
            <w:vMerge w:val="restart"/>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不区分研究方向</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自动化学院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邵老师15820171170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16"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vMerge w:val="continue"/>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2436" w:type="dxa"/>
            <w:vMerge w:val="continue"/>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电子信息工程学院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江老师0668-2923762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blCellSpacing w:w="0" w:type="dxa"/>
        </w:trPr>
        <w:tc>
          <w:tcPr>
            <w:tcW w:w="900" w:type="dxa"/>
            <w:vMerge w:val="restart"/>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085600</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材料与化工</w:t>
            </w:r>
          </w:p>
        </w:tc>
        <w:tc>
          <w:tcPr>
            <w:tcW w:w="1824"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085601 材料工程</w:t>
            </w: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1、高分子材料</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2、功能材料</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材料科学与工程学院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任老师0668-2339062；19866278575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44"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vMerge w:val="restart"/>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085602 化学工程</w:t>
            </w: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1、石油清洁高效转化技术</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2、石化新产品新技术开发</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3、催化新材料与多相催化</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4、绿色能源化工技术</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5、化工过程强化技术</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化学工程学院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黄老师0668-2338202，15602587017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2"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vMerge w:val="continue"/>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6、精细化工产品的设计与开发</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7、低值石化资源精细化利用</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8、光电材料化学</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化学学院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苏老师0668-2338026；18938370911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40" w:hRule="atLeast"/>
          <w:tblCellSpacing w:w="0" w:type="dxa"/>
        </w:trPr>
        <w:tc>
          <w:tcPr>
            <w:tcW w:w="900" w:type="dxa"/>
            <w:vMerge w:val="restart"/>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085700</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资源与环境</w:t>
            </w:r>
          </w:p>
        </w:tc>
        <w:tc>
          <w:tcPr>
            <w:tcW w:w="1824"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085701 环境工程</w:t>
            </w: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1、水污染控制与回用</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2、固体废物处理与资源化</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3、土壤污染控制与修复</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4、环境监测与评价</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环境科学与工程学院</w:t>
            </w:r>
          </w:p>
        </w:tc>
        <w:tc>
          <w:tcPr>
            <w:tcW w:w="129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吴老师0668-2338960；18274957747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0"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085703 地质工程</w:t>
            </w: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不区分研究方向</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石油工程学院</w:t>
            </w:r>
          </w:p>
        </w:tc>
        <w:tc>
          <w:tcPr>
            <w:tcW w:w="1296" w:type="dxa"/>
            <w:vMerge w:val="restart"/>
            <w:tcBorders>
              <w:top w:val="nil"/>
              <w:left w:val="nil"/>
              <w:bottom w:val="nil"/>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秦老师0668-2339086；18898509100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48" w:hRule="atLeast"/>
          <w:tblCellSpacing w:w="0" w:type="dxa"/>
        </w:trPr>
        <w:tc>
          <w:tcPr>
            <w:tcW w:w="900" w:type="dxa"/>
            <w:vMerge w:val="continue"/>
            <w:tcBorders>
              <w:top w:val="nil"/>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c>
          <w:tcPr>
            <w:tcW w:w="1824"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sz w:val="21"/>
                <w:szCs w:val="21"/>
              </w:rPr>
            </w:pPr>
            <w:r>
              <w:rPr>
                <w:rFonts w:hint="default" w:ascii="仿宋_GB2312" w:hAnsi="仿宋_GB2312" w:eastAsia="仿宋_GB2312" w:cs="仿宋_GB2312"/>
                <w:sz w:val="21"/>
                <w:szCs w:val="21"/>
              </w:rPr>
              <w:t>085706 石油与天然气工程</w:t>
            </w:r>
          </w:p>
        </w:tc>
        <w:tc>
          <w:tcPr>
            <w:tcW w:w="2436"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1、油气田勘探与开发</w:t>
            </w:r>
            <w:r>
              <w:rPr>
                <w:rFonts w:hint="default" w:ascii="仿宋_GB2312" w:hAnsi="仿宋_GB2312" w:eastAsia="仿宋_GB2312" w:cs="仿宋_GB2312"/>
                <w:sz w:val="21"/>
                <w:szCs w:val="21"/>
              </w:rPr>
              <w:br w:type="textWrapping"/>
            </w:r>
            <w:r>
              <w:rPr>
                <w:rFonts w:hint="default" w:ascii="仿宋_GB2312" w:hAnsi="仿宋_GB2312" w:eastAsia="仿宋_GB2312" w:cs="仿宋_GB2312"/>
                <w:sz w:val="21"/>
                <w:szCs w:val="21"/>
              </w:rPr>
              <w:t>2、油气储运技术</w:t>
            </w:r>
          </w:p>
        </w:tc>
        <w:tc>
          <w:tcPr>
            <w:tcW w:w="1092"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全日制</w:t>
            </w:r>
          </w:p>
        </w:tc>
        <w:tc>
          <w:tcPr>
            <w:tcW w:w="1092" w:type="dxa"/>
            <w:tcBorders>
              <w:top w:val="nil"/>
              <w:left w:val="nil"/>
              <w:bottom w:val="single" w:color="auto" w:sz="4" w:space="0"/>
              <w:right w:val="single" w:color="auto" w:sz="4" w:space="0"/>
            </w:tcBorders>
            <w:shd w:val="clear" w:color="auto" w:fill="auto"/>
            <w:tcMar>
              <w:top w:w="0" w:type="dxa"/>
              <w:left w:w="84" w:type="dxa"/>
              <w:bottom w:w="0"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rPr>
                <w:sz w:val="21"/>
                <w:szCs w:val="21"/>
              </w:rPr>
            </w:pPr>
            <w:r>
              <w:rPr>
                <w:rFonts w:hint="default" w:ascii="仿宋_GB2312" w:hAnsi="仿宋_GB2312" w:eastAsia="仿宋_GB2312" w:cs="仿宋_GB2312"/>
                <w:sz w:val="21"/>
                <w:szCs w:val="21"/>
              </w:rPr>
              <w:t>石油工程学院</w:t>
            </w:r>
          </w:p>
        </w:tc>
        <w:tc>
          <w:tcPr>
            <w:tcW w:w="1296" w:type="dxa"/>
            <w:vMerge w:val="continue"/>
            <w:tcBorders>
              <w:top w:val="nil"/>
              <w:left w:val="nil"/>
              <w:bottom w:val="nil"/>
              <w:right w:val="single" w:color="auto" w:sz="4" w:space="0"/>
            </w:tcBorders>
            <w:shd w:val="clear" w:color="auto" w:fill="auto"/>
            <w:tcMar>
              <w:top w:w="0" w:type="dxa"/>
              <w:left w:w="84" w:type="dxa"/>
              <w:bottom w:w="0" w:type="dxa"/>
              <w:right w:w="84" w:type="dxa"/>
            </w:tcMar>
            <w:vAlign w:val="center"/>
          </w:tcPr>
          <w:p>
            <w:pPr>
              <w:rPr>
                <w:rFonts w:hint="eastAsia" w:ascii="宋体"/>
                <w:sz w:val="21"/>
                <w:szCs w:val="21"/>
              </w:rPr>
            </w:pPr>
          </w:p>
        </w:tc>
      </w:tr>
      <w:bookmarkEnd w:id="0"/>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Style w:val="6"/>
          <w:rFonts w:hint="default" w:ascii="仿宋_GB2312" w:hAnsi="仿宋_GB2312" w:eastAsia="仿宋_GB2312" w:cs="仿宋_GB2312"/>
          <w:i w:val="0"/>
          <w:iCs w:val="0"/>
          <w:caps w:val="0"/>
          <w:color w:val="000000"/>
          <w:spacing w:val="12"/>
          <w:sz w:val="25"/>
          <w:szCs w:val="25"/>
        </w:rPr>
        <w:t>（因2023年国家招生计划目前尚未下达，以上拟接收调剂信息仅供参考，待招生计划下达后，拟接收调剂信息可能会出现变动，正式调剂信息以中国研招网调剂服务系统中公布的调剂信息为准）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Style w:val="6"/>
          <w:rFonts w:hint="default" w:ascii="仿宋_GB2312" w:hAnsi="仿宋_GB2312" w:eastAsia="仿宋_GB2312" w:cs="仿宋_GB2312"/>
          <w:i w:val="0"/>
          <w:iCs w:val="0"/>
          <w:caps w:val="0"/>
          <w:color w:val="000000"/>
          <w:spacing w:val="12"/>
          <w:sz w:val="25"/>
          <w:szCs w:val="25"/>
        </w:rPr>
        <w:t>二、奖助学金政策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40"/>
        <w:jc w:val="left"/>
      </w:pPr>
      <w:r>
        <w:rPr>
          <w:rFonts w:hint="default" w:ascii="仿宋_GB2312" w:hAnsi="仿宋_GB2312" w:eastAsia="仿宋_GB2312" w:cs="仿宋_GB2312"/>
          <w:i w:val="0"/>
          <w:iCs w:val="0"/>
          <w:caps w:val="0"/>
          <w:color w:val="000000"/>
          <w:spacing w:val="12"/>
          <w:sz w:val="25"/>
          <w:szCs w:val="25"/>
        </w:rPr>
        <w:t>学校主要奖助学金政策如下表所示。表中各类奖、助学金仅面向全日制非定向就业硕士研究生评选，评选细则以学校相关文件及通知为准。</w:t>
      </w:r>
    </w:p>
    <w:tbl>
      <w:tblPr>
        <w:tblStyle w:val="4"/>
        <w:tblW w:w="7080"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90"/>
        <w:gridCol w:w="1078"/>
        <w:gridCol w:w="2586"/>
        <w:gridCol w:w="671"/>
        <w:gridCol w:w="935"/>
        <w:gridCol w:w="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8" w:hRule="atLeast"/>
          <w:tblCellSpacing w:w="0" w:type="dxa"/>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奖助学金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类型</w:t>
            </w:r>
          </w:p>
        </w:tc>
        <w:tc>
          <w:tcPr>
            <w:tcW w:w="3672"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奖、助学金条件/类别</w:t>
            </w:r>
          </w:p>
        </w:tc>
        <w:tc>
          <w:tcPr>
            <w:tcW w:w="67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等级</w:t>
            </w:r>
          </w:p>
        </w:tc>
        <w:tc>
          <w:tcPr>
            <w:tcW w:w="1656"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奖助学金金额/比例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8" w:hRule="atLeast"/>
          <w:tblCellSpacing w:w="0" w:type="dxa"/>
          <w:jc w:val="center"/>
        </w:trPr>
        <w:tc>
          <w:tcPr>
            <w:tcW w:w="1092" w:type="dxa"/>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研究生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国家奖学金</w:t>
            </w:r>
          </w:p>
        </w:tc>
        <w:tc>
          <w:tcPr>
            <w:tcW w:w="3672"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奖励攻读学位期间表现优异、学业成果突出的在籍全日制（全脱产学习）研究生</w:t>
            </w:r>
          </w:p>
        </w:tc>
        <w:tc>
          <w:tcPr>
            <w:tcW w:w="2328" w:type="dxa"/>
            <w:gridSpan w:val="3"/>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20000元/人(名额由省下达）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8" w:hRule="atLeast"/>
          <w:tblCellSpacing w:w="0" w:type="dxa"/>
          <w:jc w:val="center"/>
        </w:trPr>
        <w:tc>
          <w:tcPr>
            <w:tcW w:w="1092" w:type="dxa"/>
            <w:vMerge w:val="restart"/>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研究生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学业奖学金</w:t>
            </w:r>
          </w:p>
        </w:tc>
        <w:tc>
          <w:tcPr>
            <w:tcW w:w="3672"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一年级硕士研究生学业奖学金</w:t>
            </w:r>
          </w:p>
        </w:tc>
        <w:tc>
          <w:tcPr>
            <w:tcW w:w="1608" w:type="dxa"/>
            <w:gridSpan w:val="2"/>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3000元/人</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6"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rPr>
                <w:rFonts w:hint="eastAsia" w:ascii="宋体"/>
                <w:sz w:val="24"/>
                <w:szCs w:val="24"/>
              </w:rPr>
            </w:pPr>
          </w:p>
        </w:tc>
        <w:tc>
          <w:tcPr>
            <w:tcW w:w="3672" w:type="dxa"/>
            <w:gridSpan w:val="2"/>
            <w:vMerge w:val="restart"/>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二、三年级硕士研究生学业奖学金</w:t>
            </w: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一等奖</w:t>
            </w:r>
          </w:p>
        </w:tc>
        <w:tc>
          <w:tcPr>
            <w:tcW w:w="936" w:type="dxa"/>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10000元/年</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rPr>
                <w:rFonts w:hint="eastAsia" w:ascii="宋体"/>
                <w:sz w:val="24"/>
                <w:szCs w:val="24"/>
              </w:rPr>
            </w:pPr>
          </w:p>
        </w:tc>
        <w:tc>
          <w:tcPr>
            <w:tcW w:w="3672" w:type="dxa"/>
            <w:gridSpan w:val="2"/>
            <w:vMerge w:val="continue"/>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rPr>
                <w:rFonts w:hint="eastAsia" w:ascii="宋体"/>
                <w:sz w:val="24"/>
                <w:szCs w:val="24"/>
              </w:rPr>
            </w:pP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二等奖</w:t>
            </w:r>
          </w:p>
        </w:tc>
        <w:tc>
          <w:tcPr>
            <w:tcW w:w="936" w:type="dxa"/>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5000元/年</w:t>
            </w:r>
          </w:p>
        </w:tc>
        <w:tc>
          <w:tcPr>
            <w:tcW w:w="708" w:type="dxa"/>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rPr>
                <w:rFonts w:hint="eastAsia" w:ascii="宋体"/>
                <w:sz w:val="24"/>
                <w:szCs w:val="24"/>
              </w:rPr>
            </w:pPr>
          </w:p>
        </w:tc>
        <w:tc>
          <w:tcPr>
            <w:tcW w:w="3672" w:type="dxa"/>
            <w:gridSpan w:val="2"/>
            <w:vMerge w:val="continue"/>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rPr>
                <w:rFonts w:hint="eastAsia" w:ascii="宋体"/>
                <w:sz w:val="24"/>
                <w:szCs w:val="24"/>
              </w:rPr>
            </w:pP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三等奖</w:t>
            </w:r>
          </w:p>
        </w:tc>
        <w:tc>
          <w:tcPr>
            <w:tcW w:w="936" w:type="dxa"/>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2000元/年</w:t>
            </w:r>
          </w:p>
        </w:tc>
        <w:tc>
          <w:tcPr>
            <w:tcW w:w="708" w:type="dxa"/>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blCellSpacing w:w="0" w:type="dxa"/>
          <w:jc w:val="center"/>
        </w:trPr>
        <w:tc>
          <w:tcPr>
            <w:tcW w:w="1092" w:type="dxa"/>
            <w:vMerge w:val="restart"/>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研究生助学金</w:t>
            </w:r>
          </w:p>
        </w:tc>
        <w:tc>
          <w:tcPr>
            <w:tcW w:w="3672" w:type="dxa"/>
            <w:gridSpan w:val="2"/>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国家助学金</w:t>
            </w:r>
          </w:p>
        </w:tc>
        <w:tc>
          <w:tcPr>
            <w:tcW w:w="1608" w:type="dxa"/>
            <w:gridSpan w:val="2"/>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6000元/年</w:t>
            </w:r>
          </w:p>
        </w:tc>
        <w:tc>
          <w:tcPr>
            <w:tcW w:w="708" w:type="dxa"/>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3672" w:type="dxa"/>
            <w:gridSpan w:val="2"/>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学校助学金</w:t>
            </w:r>
          </w:p>
        </w:tc>
        <w:tc>
          <w:tcPr>
            <w:tcW w:w="1608" w:type="dxa"/>
            <w:gridSpan w:val="2"/>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10000元/年</w:t>
            </w:r>
          </w:p>
        </w:tc>
        <w:tc>
          <w:tcPr>
            <w:tcW w:w="708" w:type="dxa"/>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3672" w:type="dxa"/>
            <w:gridSpan w:val="2"/>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临时困难补助金</w:t>
            </w:r>
          </w:p>
        </w:tc>
        <w:tc>
          <w:tcPr>
            <w:tcW w:w="2328" w:type="dxa"/>
            <w:gridSpan w:val="3"/>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2000元/次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4" w:hRule="atLeast"/>
          <w:tblCellSpacing w:w="0" w:type="dxa"/>
          <w:jc w:val="center"/>
        </w:trPr>
        <w:tc>
          <w:tcPr>
            <w:tcW w:w="1092" w:type="dxa"/>
            <w:vMerge w:val="restart"/>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研究生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学术成果奖</w:t>
            </w:r>
          </w:p>
        </w:tc>
        <w:tc>
          <w:tcPr>
            <w:tcW w:w="1080"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学术论文类、知识产权类</w:t>
            </w:r>
          </w:p>
        </w:tc>
        <w:tc>
          <w:tcPr>
            <w:tcW w:w="4908" w:type="dxa"/>
            <w:gridSpan w:val="4"/>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奖励研究生攻读学位期间发表的学术成果，具体以学校相关文件和通知为准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1080" w:type="dxa"/>
            <w:vMerge w:val="restart"/>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学术竞赛类</w:t>
            </w:r>
          </w:p>
        </w:tc>
        <w:tc>
          <w:tcPr>
            <w:tcW w:w="2580" w:type="dxa"/>
            <w:vMerge w:val="restart"/>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国家级以上竞赛活动</w:t>
            </w:r>
          </w:p>
        </w:tc>
        <w:tc>
          <w:tcPr>
            <w:tcW w:w="67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特等奖</w:t>
            </w:r>
          </w:p>
        </w:tc>
        <w:tc>
          <w:tcPr>
            <w:tcW w:w="1656"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20000元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10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25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一等奖</w:t>
            </w:r>
          </w:p>
        </w:tc>
        <w:tc>
          <w:tcPr>
            <w:tcW w:w="1656"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10000元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10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25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二等奖</w:t>
            </w:r>
          </w:p>
        </w:tc>
        <w:tc>
          <w:tcPr>
            <w:tcW w:w="1656"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8000元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10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25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三等奖</w:t>
            </w:r>
          </w:p>
        </w:tc>
        <w:tc>
          <w:tcPr>
            <w:tcW w:w="1656"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5000元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4"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10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2580" w:type="dxa"/>
            <w:vMerge w:val="restart"/>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省部级竞赛活动</w:t>
            </w: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特等奖</w:t>
            </w:r>
          </w:p>
        </w:tc>
        <w:tc>
          <w:tcPr>
            <w:tcW w:w="1656"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6000元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10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25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一等奖</w:t>
            </w:r>
          </w:p>
        </w:tc>
        <w:tc>
          <w:tcPr>
            <w:tcW w:w="1656"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5000元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64"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10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25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二等奖</w:t>
            </w:r>
          </w:p>
        </w:tc>
        <w:tc>
          <w:tcPr>
            <w:tcW w:w="1656"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3000元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8" w:hRule="atLeast"/>
          <w:tblCellSpacing w:w="0" w:type="dxa"/>
          <w:jc w:val="center"/>
        </w:trPr>
        <w:tc>
          <w:tcPr>
            <w:tcW w:w="1092"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10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2580" w:type="dxa"/>
            <w:vMerge w:val="continue"/>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rPr>
                <w:rFonts w:hint="eastAsia" w:ascii="宋体"/>
                <w:sz w:val="24"/>
                <w:szCs w:val="24"/>
              </w:rPr>
            </w:pPr>
          </w:p>
        </w:tc>
        <w:tc>
          <w:tcPr>
            <w:tcW w:w="67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三等奖</w:t>
            </w:r>
          </w:p>
        </w:tc>
        <w:tc>
          <w:tcPr>
            <w:tcW w:w="1656" w:type="dxa"/>
            <w:gridSpan w:val="2"/>
            <w:tcBorders>
              <w:top w:val="nil"/>
              <w:left w:val="single" w:color="auto" w:sz="4" w:space="0"/>
              <w:bottom w:val="single" w:color="auto" w:sz="4" w:space="0"/>
              <w:right w:val="single" w:color="auto" w:sz="4" w:space="0"/>
            </w:tcBorders>
            <w:shd w:val="clear" w:color="auto" w:fill="auto"/>
            <w:tcMar>
              <w:top w:w="12" w:type="dxa"/>
              <w:left w:w="12" w:type="dxa"/>
              <w:bottom w:w="12" w:type="dxa"/>
              <w:right w:w="12"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2000元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8" w:hRule="atLeast"/>
          <w:tblCellSpacing w:w="0" w:type="dxa"/>
          <w:jc w:val="center"/>
        </w:trPr>
        <w:tc>
          <w:tcPr>
            <w:tcW w:w="109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社会奖学金</w:t>
            </w:r>
          </w:p>
        </w:tc>
        <w:tc>
          <w:tcPr>
            <w:tcW w:w="5988" w:type="dxa"/>
            <w:gridSpan w:val="5"/>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学校设有一定数量的社会奖学金，具体评选办法、资助标准、比例以学校相关文件和通知为准。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blCellSpacing w:w="0" w:type="dxa"/>
          <w:jc w:val="center"/>
        </w:trPr>
        <w:tc>
          <w:tcPr>
            <w:tcW w:w="109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研究生“三助一辅”岗</w:t>
            </w:r>
          </w:p>
        </w:tc>
        <w:tc>
          <w:tcPr>
            <w:tcW w:w="5988" w:type="dxa"/>
            <w:gridSpan w:val="5"/>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学校为全日制（全脱产学习）在校研究生设立助研、助教、助管和学生辅导员（简称“三助一辅”）工作岗位，并提供津贴。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blCellSpacing w:w="0" w:type="dxa"/>
          <w:jc w:val="center"/>
        </w:trPr>
        <w:tc>
          <w:tcPr>
            <w:tcW w:w="1092" w:type="dxa"/>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Style w:val="6"/>
                <w:rFonts w:hint="default" w:ascii="仿宋_GB2312" w:hAnsi="仿宋_GB2312" w:eastAsia="仿宋_GB2312" w:cs="仿宋_GB2312"/>
                <w:sz w:val="18"/>
                <w:szCs w:val="18"/>
              </w:rPr>
              <w:t>评优评先</w:t>
            </w:r>
          </w:p>
        </w:tc>
        <w:tc>
          <w:tcPr>
            <w:tcW w:w="5988" w:type="dxa"/>
            <w:gridSpan w:val="5"/>
            <w:tcBorders>
              <w:top w:val="nil"/>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4" w:lineRule="atLeast"/>
              <w:ind w:left="0" w:right="0"/>
              <w:jc w:val="center"/>
              <w:textAlignment w:val="center"/>
            </w:pPr>
            <w:r>
              <w:rPr>
                <w:rFonts w:hint="default" w:ascii="仿宋_GB2312" w:hAnsi="仿宋_GB2312" w:eastAsia="仿宋_GB2312" w:cs="仿宋_GB2312"/>
                <w:sz w:val="15"/>
                <w:szCs w:val="15"/>
              </w:rPr>
              <w:t>具体以学校相关文件和通知为准</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jc w:val="center"/>
      </w:pPr>
      <w:r>
        <w:rPr>
          <w:rFonts w:hint="default" w:ascii="仿宋_GB2312" w:hAnsi="仿宋_GB2312" w:eastAsia="仿宋_GB2312" w:cs="仿宋_GB2312"/>
          <w:i w:val="0"/>
          <w:iCs w:val="0"/>
          <w:caps w:val="0"/>
          <w:color w:val="000000"/>
          <w:spacing w:val="0"/>
          <w:sz w:val="25"/>
          <w:szCs w:val="25"/>
        </w:rPr>
        <w:t>(具体奖助学金政策以学校文件为准）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Style w:val="6"/>
          <w:rFonts w:hint="default" w:ascii="仿宋_GB2312" w:hAnsi="仿宋_GB2312" w:eastAsia="仿宋_GB2312" w:cs="仿宋_GB2312"/>
          <w:i w:val="0"/>
          <w:iCs w:val="0"/>
          <w:caps w:val="0"/>
          <w:color w:val="000000"/>
          <w:spacing w:val="12"/>
          <w:sz w:val="25"/>
          <w:szCs w:val="25"/>
        </w:rPr>
        <w:t>三、调剂条件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（1）符合《广东石油化工学院2023年硕士研究生招生简章》中调入专业的报考条件。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（2）初试成绩符合第一志愿报考专业在调入地区的全国初试成绩基本要求以及我校调入专业的分数线要求。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（3）调入专业与第一志愿报考专业相同或相近，应在同一学科门类范围内。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4）初试科目与调入专业初试科目相同或相近，其中初试全国统一命题科目应与调入专业全国统一命题科目相同（在全国统一命题科目中，英语一、英语二可视为相同；数学一、数学二、数学三、数学（农）和经济类综合能力可视为相同；数学（农）和化学（农）可视为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（5）非全日制硕士研究生只接收报考录取类别为定向就业的调剂考生。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Style w:val="6"/>
          <w:rFonts w:hint="default" w:ascii="仿宋_GB2312" w:hAnsi="仿宋_GB2312" w:eastAsia="仿宋_GB2312" w:cs="仿宋_GB2312"/>
          <w:i w:val="0"/>
          <w:iCs w:val="0"/>
          <w:caps w:val="0"/>
          <w:color w:val="000000"/>
          <w:spacing w:val="12"/>
          <w:sz w:val="25"/>
          <w:szCs w:val="25"/>
        </w:rPr>
        <w:t>四、调剂程序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（1）发布调剂需求信息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学校将通过 “调剂服务系统”统一发布各专业计划缺额信息。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（2）考生填报调剂志愿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申请调剂的考生登录“调剂服务系统”填报调剂志愿，每人可填报3个调剂志愿。</w:t>
      </w:r>
      <w:r>
        <w:rPr>
          <w:rFonts w:hint="default" w:ascii="仿宋_GB2312" w:hAnsi="仿宋_GB2312" w:eastAsia="仿宋_GB2312" w:cs="仿宋_GB2312"/>
          <w:i w:val="0"/>
          <w:iCs w:val="0"/>
          <w:caps w:val="0"/>
          <w:color w:val="000000"/>
          <w:spacing w:val="12"/>
          <w:sz w:val="25"/>
          <w:szCs w:val="25"/>
          <w:vertAlign w:val="baseline"/>
        </w:rPr>
        <w:t>“调剂服务系统”将于4月6日开通。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（3）发送复试通知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hint="default" w:ascii="仿宋_GB2312" w:hAnsi="仿宋_GB2312" w:eastAsia="仿宋_GB2312" w:cs="仿宋_GB2312"/>
          <w:i w:val="0"/>
          <w:iCs w:val="0"/>
          <w:caps w:val="0"/>
          <w:color w:val="000000"/>
          <w:spacing w:val="0"/>
          <w:sz w:val="25"/>
          <w:szCs w:val="25"/>
        </w:rPr>
        <w:t>学校组织专人对“调剂服务系统”中的调剂志愿进行整理和筛选，并向选中的考生发送复试通知。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hint="default" w:ascii="仿宋_GB2312" w:hAnsi="仿宋_GB2312" w:eastAsia="仿宋_GB2312" w:cs="仿宋_GB2312"/>
          <w:i w:val="0"/>
          <w:iCs w:val="0"/>
          <w:caps w:val="0"/>
          <w:color w:val="000000"/>
          <w:spacing w:val="0"/>
          <w:sz w:val="25"/>
          <w:szCs w:val="25"/>
        </w:rPr>
        <w:t>（4）接受复试通知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hint="default" w:ascii="仿宋_GB2312" w:hAnsi="仿宋_GB2312" w:eastAsia="仿宋_GB2312" w:cs="仿宋_GB2312"/>
          <w:i w:val="0"/>
          <w:iCs w:val="0"/>
          <w:caps w:val="0"/>
          <w:color w:val="000000"/>
          <w:spacing w:val="0"/>
          <w:sz w:val="25"/>
          <w:szCs w:val="25"/>
        </w:rPr>
        <w:t>考生在收到“调剂服务系统”复试通知的短信提醒后须在规定时间内登录系统确认同意参加复试。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（5）待录取通知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经复试合格并获得我校拟录取资格的考生，学校将通过调剂系统向考生发送待录取通知。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（6）考生在接到待录取通知后，应在规定时间内确认同意待录取。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（7）拟录取名单公示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拟录取的考生名单将由学校统一在学校研究生招生信息网上进行公示。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480"/>
        <w:jc w:val="left"/>
        <w:textAlignment w:val="baseline"/>
      </w:pPr>
      <w:r>
        <w:rPr>
          <w:rFonts w:hint="default" w:ascii="仿宋_GB2312" w:hAnsi="仿宋_GB2312" w:eastAsia="仿宋_GB2312" w:cs="仿宋_GB2312"/>
          <w:i w:val="0"/>
          <w:iCs w:val="0"/>
          <w:caps w:val="0"/>
          <w:color w:val="000000"/>
          <w:spacing w:val="0"/>
          <w:sz w:val="25"/>
          <w:szCs w:val="25"/>
          <w:vertAlign w:val="baseline"/>
        </w:rPr>
        <w:t>（8）拟录取名单审核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hint="default" w:ascii="仿宋_GB2312" w:hAnsi="仿宋_GB2312" w:eastAsia="仿宋_GB2312" w:cs="仿宋_GB2312"/>
          <w:i w:val="0"/>
          <w:iCs w:val="0"/>
          <w:caps w:val="0"/>
          <w:color w:val="000000"/>
          <w:spacing w:val="0"/>
          <w:sz w:val="25"/>
          <w:szCs w:val="25"/>
        </w:rPr>
        <w:t>经学校统一公示后，拟录取名单报上级部门审核，最终录取结果将以教育部审核通过的名单为准。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Style w:val="6"/>
          <w:rFonts w:hint="default" w:ascii="仿宋_GB2312" w:hAnsi="仿宋_GB2312" w:eastAsia="仿宋_GB2312" w:cs="仿宋_GB2312"/>
          <w:i w:val="0"/>
          <w:iCs w:val="0"/>
          <w:caps w:val="0"/>
          <w:color w:val="000000"/>
          <w:spacing w:val="12"/>
          <w:sz w:val="25"/>
          <w:szCs w:val="25"/>
        </w:rPr>
        <w:t>五、联系方式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hint="default" w:ascii="仿宋_GB2312" w:hAnsi="仿宋_GB2312" w:eastAsia="仿宋_GB2312" w:cs="仿宋_GB2312"/>
          <w:i w:val="0"/>
          <w:iCs w:val="0"/>
          <w:caps w:val="0"/>
          <w:color w:val="000000"/>
          <w:spacing w:val="12"/>
          <w:sz w:val="25"/>
          <w:szCs w:val="25"/>
        </w:rPr>
        <w:t>研究生招生办公室电话：0668-2923758；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hint="default" w:ascii="仿宋_GB2312" w:hAnsi="仿宋_GB2312" w:eastAsia="仿宋_GB2312" w:cs="仿宋_GB2312"/>
          <w:i w:val="0"/>
          <w:iCs w:val="0"/>
          <w:caps w:val="0"/>
          <w:color w:val="000000"/>
          <w:spacing w:val="12"/>
          <w:sz w:val="25"/>
          <w:szCs w:val="25"/>
        </w:rPr>
        <w:t>邮箱：</w:t>
      </w:r>
      <w:r>
        <w:rPr>
          <w:rFonts w:hint="eastAsia" w:ascii="微软雅黑" w:hAnsi="微软雅黑" w:eastAsia="微软雅黑" w:cs="微软雅黑"/>
          <w:i w:val="0"/>
          <w:iCs w:val="0"/>
          <w:caps w:val="0"/>
          <w:spacing w:val="0"/>
          <w:sz w:val="27"/>
          <w:szCs w:val="27"/>
          <w:u w:val="none"/>
        </w:rPr>
        <w:fldChar w:fldCharType="begin"/>
      </w:r>
      <w:r>
        <w:rPr>
          <w:rFonts w:hint="eastAsia" w:ascii="微软雅黑" w:hAnsi="微软雅黑" w:eastAsia="微软雅黑" w:cs="微软雅黑"/>
          <w:i w:val="0"/>
          <w:iCs w:val="0"/>
          <w:caps w:val="0"/>
          <w:spacing w:val="0"/>
          <w:sz w:val="27"/>
          <w:szCs w:val="27"/>
          <w:u w:val="none"/>
        </w:rPr>
        <w:instrText xml:space="preserve"> HYPERLINK "mailto:gduptyzb@126.com" </w:instrText>
      </w:r>
      <w:r>
        <w:rPr>
          <w:rFonts w:hint="eastAsia" w:ascii="微软雅黑" w:hAnsi="微软雅黑" w:eastAsia="微软雅黑" w:cs="微软雅黑"/>
          <w:i w:val="0"/>
          <w:iCs w:val="0"/>
          <w:caps w:val="0"/>
          <w:spacing w:val="0"/>
          <w:sz w:val="27"/>
          <w:szCs w:val="27"/>
          <w:u w:val="none"/>
        </w:rPr>
        <w:fldChar w:fldCharType="separate"/>
      </w:r>
      <w:r>
        <w:rPr>
          <w:rStyle w:val="7"/>
          <w:rFonts w:hint="default" w:ascii="仿宋_GB2312" w:hAnsi="仿宋_GB2312" w:eastAsia="仿宋_GB2312" w:cs="仿宋_GB2312"/>
          <w:i w:val="0"/>
          <w:iCs w:val="0"/>
          <w:caps w:val="0"/>
          <w:color w:val="0000FF"/>
          <w:spacing w:val="12"/>
          <w:sz w:val="25"/>
          <w:szCs w:val="25"/>
          <w:u w:val="single"/>
        </w:rPr>
        <w:t>gduptyzb@126.com</w:t>
      </w:r>
      <w:r>
        <w:rPr>
          <w:rFonts w:hint="eastAsia" w:ascii="微软雅黑" w:hAnsi="微软雅黑" w:eastAsia="微软雅黑" w:cs="微软雅黑"/>
          <w:i w:val="0"/>
          <w:iCs w:val="0"/>
          <w:caps w:val="0"/>
          <w:spacing w:val="0"/>
          <w:sz w:val="27"/>
          <w:szCs w:val="27"/>
          <w:u w:val="none"/>
        </w:rPr>
        <w:fldChar w:fldCharType="end"/>
      </w:r>
      <w:r>
        <w:rPr>
          <w:rFonts w:hint="default" w:ascii="仿宋_GB2312" w:hAnsi="仿宋_GB2312" w:eastAsia="仿宋_GB2312" w:cs="仿宋_GB2312"/>
          <w:i w:val="0"/>
          <w:iCs w:val="0"/>
          <w:caps w:val="0"/>
          <w:color w:val="000000"/>
          <w:spacing w:val="12"/>
          <w:sz w:val="25"/>
          <w:szCs w:val="25"/>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hint="default" w:ascii="仿宋_GB2312" w:hAnsi="仿宋_GB2312" w:eastAsia="仿宋_GB2312" w:cs="仿宋_GB2312"/>
          <w:i w:val="0"/>
          <w:iCs w:val="0"/>
          <w:caps w:val="0"/>
          <w:color w:val="000000"/>
          <w:spacing w:val="12"/>
          <w:sz w:val="25"/>
          <w:szCs w:val="25"/>
        </w:rPr>
        <w:t>学校研究生招生信息网网址：</w:t>
      </w:r>
      <w:r>
        <w:rPr>
          <w:rFonts w:hint="eastAsia" w:ascii="微软雅黑" w:hAnsi="微软雅黑" w:eastAsia="微软雅黑" w:cs="微软雅黑"/>
          <w:i w:val="0"/>
          <w:iCs w:val="0"/>
          <w:caps w:val="0"/>
          <w:spacing w:val="0"/>
          <w:sz w:val="27"/>
          <w:szCs w:val="27"/>
          <w:u w:val="none"/>
        </w:rPr>
        <w:fldChar w:fldCharType="begin"/>
      </w:r>
      <w:r>
        <w:rPr>
          <w:rFonts w:hint="eastAsia" w:ascii="微软雅黑" w:hAnsi="微软雅黑" w:eastAsia="微软雅黑" w:cs="微软雅黑"/>
          <w:i w:val="0"/>
          <w:iCs w:val="0"/>
          <w:caps w:val="0"/>
          <w:spacing w:val="0"/>
          <w:sz w:val="27"/>
          <w:szCs w:val="27"/>
          <w:u w:val="none"/>
        </w:rPr>
        <w:instrText xml:space="preserve"> HYPERLINK "https://site.gdupt.edu.cn/yz/index.htm" </w:instrText>
      </w:r>
      <w:r>
        <w:rPr>
          <w:rFonts w:hint="eastAsia" w:ascii="微软雅黑" w:hAnsi="微软雅黑" w:eastAsia="微软雅黑" w:cs="微软雅黑"/>
          <w:i w:val="0"/>
          <w:iCs w:val="0"/>
          <w:caps w:val="0"/>
          <w:spacing w:val="0"/>
          <w:sz w:val="27"/>
          <w:szCs w:val="27"/>
          <w:u w:val="none"/>
        </w:rPr>
        <w:fldChar w:fldCharType="separate"/>
      </w:r>
      <w:r>
        <w:rPr>
          <w:rStyle w:val="7"/>
          <w:rFonts w:hint="default" w:ascii="仿宋_GB2312" w:hAnsi="仿宋_GB2312" w:eastAsia="仿宋_GB2312" w:cs="仿宋_GB2312"/>
          <w:i w:val="0"/>
          <w:iCs w:val="0"/>
          <w:caps w:val="0"/>
          <w:color w:val="0000FF"/>
          <w:spacing w:val="12"/>
          <w:sz w:val="25"/>
          <w:szCs w:val="25"/>
          <w:u w:val="single"/>
        </w:rPr>
        <w:t>https://site.gdupt.edu.cn/yz/index.htm</w:t>
      </w:r>
      <w:r>
        <w:rPr>
          <w:rFonts w:hint="eastAsia" w:ascii="微软雅黑" w:hAnsi="微软雅黑" w:eastAsia="微软雅黑" w:cs="微软雅黑"/>
          <w:i w:val="0"/>
          <w:iCs w:val="0"/>
          <w:caps w:val="0"/>
          <w:spacing w:val="0"/>
          <w:sz w:val="27"/>
          <w:szCs w:val="27"/>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396"/>
        <w:jc w:val="left"/>
      </w:pPr>
      <w:r>
        <w:rPr>
          <w:rFonts w:hint="default" w:ascii="仿宋_GB2312" w:hAnsi="仿宋_GB2312" w:eastAsia="仿宋_GB2312" w:cs="仿宋_GB2312"/>
          <w:i w:val="0"/>
          <w:iCs w:val="0"/>
          <w:caps w:val="0"/>
          <w:color w:val="000000"/>
          <w:spacing w:val="12"/>
          <w:sz w:val="25"/>
          <w:szCs w:val="25"/>
        </w:rPr>
        <w:t>                         广东石油化工学院研究生招生办公室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仿宋_GB2312" w:hAnsi="仿宋_GB2312" w:eastAsia="仿宋_GB2312" w:cs="仿宋_GB2312"/>
          <w:i w:val="0"/>
          <w:iCs w:val="0"/>
          <w:caps w:val="0"/>
          <w:color w:val="000000"/>
          <w:spacing w:val="12"/>
          <w:sz w:val="25"/>
          <w:szCs w:val="25"/>
        </w:rPr>
        <w:t>                                           2023年4月1日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NDUwOTBhMDFkOGU0YTllMjA5MWU2Y2FlZmM1NzYifQ=="/>
  </w:docVars>
  <w:rsids>
    <w:rsidRoot w:val="00000000"/>
    <w:rsid w:val="4F497F90"/>
    <w:rsid w:val="668A6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1994</Words>
  <Characters>2407</Characters>
  <Lines>0</Lines>
  <Paragraphs>0</Paragraphs>
  <TotalTime>0</TotalTime>
  <ScaleCrop>false</ScaleCrop>
  <LinksUpToDate>false</LinksUpToDate>
  <CharactersWithSpaces>2488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2023-04-19T09:10:00Z</dcterms:created>
  <dc:creator>DELL</dc:creator>
  <cp:lastModifiedBy>陈桉</cp:lastModifiedBy>
  <dcterms:modified xsi:type="dcterms:W3CDTF">2023-07-07T06:07:34Z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F1B5E71F100C4BA9B7DB8D026C82127A_12</vt:lpwstr>
  </property>
</Properties>
</file>