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60" w:beforeAutospacing="0" w:after="0" w:afterAutospacing="0" w:line="360" w:lineRule="atLeast"/>
        <w:ind w:left="0" w:right="0"/>
        <w:jc w:val="center"/>
        <w:rPr>
          <w:color w:val="3B8DD1"/>
          <w:sz w:val="26"/>
          <w:szCs w:val="26"/>
        </w:rPr>
      </w:pPr>
      <w:r>
        <w:rPr>
          <w:i w:val="0"/>
          <w:iCs w:val="0"/>
          <w:caps w:val="0"/>
          <w:color w:val="3B8DD1"/>
          <w:spacing w:val="0"/>
          <w:sz w:val="26"/>
          <w:szCs w:val="26"/>
          <w:bdr w:val="none" w:color="auto" w:sz="0" w:space="0"/>
          <w:shd w:val="clear" w:fill="FFFFFF"/>
        </w:rPr>
        <w:t>广东财经大学国际商学院2023年硕士研究生调剂公告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/>
        <w:jc w:val="center"/>
        <w:rPr>
          <w:color w:val="999999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作者：     来源：国际商学院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  <w:shd w:val="clear" w:fill="FFFFFF"/>
        </w:rPr>
        <w:t>2023/04/01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  <w:bdr w:val="none" w:color="auto" w:sz="0" w:space="0"/>
          <w:shd w:val="clear" w:fill="FFFFFF"/>
        </w:rPr>
        <w:t>126 次浏览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2023年全国硕士研究生招生“调剂服务系统”将于4月6日开通，我院企业管理（国际企业经营与管理）硕士专业可接受部分调剂考生，现将有关事项公告如下。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DC2523"/>
          <w:spacing w:val="0"/>
          <w:sz w:val="16"/>
          <w:szCs w:val="16"/>
          <w:bdr w:val="none" w:color="auto" w:sz="0" w:space="0"/>
          <w:shd w:val="clear" w:fill="FFFFFF"/>
        </w:rPr>
        <w:t>1.基本要求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第一志愿报考工商管理类学术型学位相关专业的考生，且统考科目相同，自命题科目相近，外语为“201英语一”、业务课一为“303数学三”，初试成绩（总分和单科）达国家A区最低复试分数线的考生。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DC2523"/>
          <w:spacing w:val="0"/>
          <w:sz w:val="16"/>
          <w:szCs w:val="16"/>
          <w:bdr w:val="none" w:color="auto" w:sz="0" w:space="0"/>
          <w:shd w:val="clear" w:fill="FFFFFF"/>
        </w:rPr>
        <w:t>2.报名办法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欢迎有意报考我院的考生密切关注“中国研究生招生信息网”（网址：https://yz.chsi.com.cn/；微信公众号：chsiyz），按时按要求填报调剂志愿。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DC2523"/>
          <w:spacing w:val="0"/>
          <w:sz w:val="16"/>
          <w:szCs w:val="16"/>
          <w:bdr w:val="none" w:color="auto" w:sz="0" w:space="0"/>
          <w:shd w:val="clear" w:fill="FFFFFF"/>
        </w:rPr>
        <w:t>3.联系方式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地址：广东财经大学佛山校区厚德楼331办公室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联系人：余老师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电话：0757-87821312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邮箱：ibs@gdufe.edu.cn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注：企业管理（国际企业经营与管理）硕士方向隶属于广东财经大学国际商学院，此硕士方向所在的工商管理一级学科是广东省优势重点学科、广东省高等教育“冲一流、补短板、强特色”重点建设学科、广东财经大学重点学科。企业管理硕士点从1994年开始与暨南大学合作招收硕士研究生，2004年开始独立培养研究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left"/>
        <w:rPr>
          <w:color w:val="55555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本专业主要研究方向包括：1.领导力与国际企业成长。该方向主要研究国际企业领导力的构成、特征和动态发展，国际企业成长特征、路径以及关键驱动因素，以及企业领导力与企业成长之间的内在关系和情景因素。2.国际商务与投融资决策。该方向主要研究国际商务活动规律与投融资决策理论，重点研究国际企业的跨境商务活动成因及其有效的管理，即国际企业如何通过国际商务和投融资决策活动，来开发和维持竞争优势，以及如何进行高效的国际投融资行为来驱动企业的国际化发展。3.企业全球化与供应链管理。该方向研究主要聚焦于两个主题，一是我国企业在不同国家、不同文化情境下全球化创新发展问题，二是我国企业供应链管理的全球化问题，以及与其他国家供应商的合作发展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00A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2023-04-18T03:20:01Z</dcterms:created>
  <dc:creator>DELL</dc:creator>
  <cp:lastModifiedBy>曾经的那个老吴</cp:lastModifiedBy>
  <dcterms:modified xsi:type="dcterms:W3CDTF">2023-04-18T03:20:03Z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F420B1C2F0214102800FEFD615F7AB29_12</vt:lpwstr>
  </property>
</Properties>
</file>