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BFB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0"/>
          <w:szCs w:val="20"/>
          <w:bdr w:val="none" w:color="auto" w:sz="0" w:space="0"/>
          <w:shd w:val="clear" w:fill="FBFBFB"/>
          <w:lang w:val="en-US" w:eastAsia="zh-CN" w:bidi="ar"/>
        </w:rPr>
        <w:t>扬州大学化学化工学院2023年硕士研究生招生调剂系统开放安排（4）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F3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8A8A8A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A8A8A"/>
          <w:spacing w:val="0"/>
          <w:kern w:val="0"/>
          <w:sz w:val="13"/>
          <w:szCs w:val="13"/>
          <w:bdr w:val="none" w:color="auto" w:sz="0" w:space="0"/>
          <w:shd w:val="clear" w:fill="F3F3F3"/>
          <w:lang w:val="en-US" w:eastAsia="zh-CN" w:bidi="ar"/>
        </w:rPr>
        <w:t>发布日期：2023-04-12浏览次数：424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tbl>
      <w:tblPr>
        <w:tblpPr w:vertAnchor="text" w:tblpXSpec="lef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725"/>
        <w:gridCol w:w="819"/>
        <w:gridCol w:w="819"/>
        <w:gridCol w:w="975"/>
        <w:gridCol w:w="42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879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调剂系统开放安排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C00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C00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培养方式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C00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调剂指标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C00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系统开放时间</w:t>
            </w:r>
          </w:p>
        </w:tc>
        <w:tc>
          <w:tcPr>
            <w:tcW w:w="3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C00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调剂要求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085601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材料工程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12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18:40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13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09:00</w:t>
            </w:r>
          </w:p>
        </w:tc>
        <w:tc>
          <w:tcPr>
            <w:tcW w:w="3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限一志愿相同、本科专业相同或相近专业调剂：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如高分子材料、材料化学、纺织材料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……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285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164</Characters>
  <Lines>0</Lines>
  <Paragraphs>0</Paragraphs>
  <TotalTime>0</TotalTime>
  <ScaleCrop>false</ScaleCrop>
  <LinksUpToDate>false</LinksUpToDate>
  <CharactersWithSpaces>164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2023-04-22T09:45:41Z</dcterms:created>
  <dc:creator>Administrator</dc:creator>
  <cp:lastModifiedBy>王英</cp:lastModifiedBy>
  <dcterms:modified xsi:type="dcterms:W3CDTF">2023-04-22T09:45:53Z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EAFDE2970C1048D8AB044440C8946C2B</vt:lpwstr>
  </property>
</Properties>
</file>