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shd w:val="clear" w:fill="FFFFFF"/>
          <w:lang w:val="en-US" w:eastAsia="zh-CN" w:bidi="ar"/>
        </w:rPr>
        <w:t>扬州大学商学院2023年硕士研究生调剂复试录取工作调剂方案（三）</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5F5F5"/>
          <w:lang w:val="en-US" w:eastAsia="zh-CN" w:bidi="ar"/>
        </w:rPr>
        <w:t>发布日期：2023-04-10浏览次数：1877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根据《教育部关于印发2023年全国硕士研究生招生工作管理规定的通知》（教学〔2022〕3号）及教育部、省教育厅关于2023年硕士研究生复试录取工作的相关文件及会议精神，按照《扬州大学 2023年硕士研究生复试录取工作办法》（扬大研院[2023] 17号）文件要求，结合学校下达的招生指标以及第一志愿达线及调剂复试情况，特制定本方案。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一、接收调剂的专业、计划数</w:t>
      </w:r>
    </w:p>
    <w:tbl>
      <w:tblPr>
        <w:tblW w:w="83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204"/>
        <w:gridCol w:w="3543"/>
        <w:gridCol w:w="1518"/>
        <w:gridCol w:w="203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19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类型</w:t>
            </w:r>
          </w:p>
        </w:tc>
        <w:tc>
          <w:tcPr>
            <w:tcW w:w="3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学科、专业学位类别（领域）代码、名称</w:t>
            </w:r>
          </w:p>
        </w:tc>
        <w:tc>
          <w:tcPr>
            <w:tcW w:w="1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拟接受调剂人数</w:t>
            </w:r>
          </w:p>
        </w:tc>
        <w:tc>
          <w:tcPr>
            <w:tcW w:w="201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调剂网开通时间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190" w:type="dxa"/>
            <w:vMerge w:val="restart"/>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全日制学术型</w:t>
            </w:r>
          </w:p>
        </w:tc>
        <w:tc>
          <w:tcPr>
            <w:tcW w:w="3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（020205）产业经济学</w:t>
            </w:r>
          </w:p>
        </w:tc>
        <w:tc>
          <w:tcPr>
            <w:tcW w:w="1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2</w:t>
            </w:r>
          </w:p>
        </w:tc>
        <w:tc>
          <w:tcPr>
            <w:tcW w:w="2010" w:type="dxa"/>
            <w:vMerge w:val="restart"/>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4月10日19：00-11日15:00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1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（020206）国际贸易学</w:t>
            </w:r>
          </w:p>
        </w:tc>
        <w:tc>
          <w:tcPr>
            <w:tcW w:w="1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1</w:t>
            </w:r>
          </w:p>
        </w:tc>
        <w:tc>
          <w:tcPr>
            <w:tcW w:w="201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19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c>
          <w:tcPr>
            <w:tcW w:w="3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default" w:ascii="΢���ź�" w:hAnsi="΢���ź�" w:eastAsia="΢���ź�" w:cs="΢���ź�"/>
                <w:sz w:val="16"/>
                <w:szCs w:val="16"/>
              </w:rPr>
            </w:pPr>
            <w:r>
              <w:rPr>
                <w:rFonts w:hint="default" w:ascii="΢���ź�" w:hAnsi="΢���ź�" w:eastAsia="΢���ź�" w:cs="΢���ź�"/>
                <w:sz w:val="16"/>
                <w:szCs w:val="16"/>
                <w:bdr w:val="none" w:color="auto" w:sz="0" w:space="0"/>
              </w:rPr>
              <w:t>（120300）农林经济管理</w:t>
            </w:r>
          </w:p>
        </w:tc>
        <w:tc>
          <w:tcPr>
            <w:tcW w:w="1500" w:type="dxa"/>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ź�" w:hAnsi="΢���ź�" w:eastAsia="΢���ź�" w:cs="΢���ź�"/>
                <w:sz w:val="16"/>
                <w:szCs w:val="16"/>
              </w:rPr>
            </w:pPr>
            <w:r>
              <w:rPr>
                <w:rStyle w:val="5"/>
                <w:rFonts w:hint="default" w:ascii="΢���ź�" w:hAnsi="΢���ź�" w:eastAsia="΢���ź�" w:cs="΢���ź�"/>
                <w:sz w:val="16"/>
                <w:szCs w:val="16"/>
                <w:bdr w:val="none" w:color="auto" w:sz="0" w:space="0"/>
              </w:rPr>
              <w:t>1</w:t>
            </w:r>
          </w:p>
        </w:tc>
        <w:tc>
          <w:tcPr>
            <w:tcW w:w="2010" w:type="dxa"/>
            <w:vMerge w:val="continue"/>
            <w:tcBorders>
              <w:top w:val="single" w:color="000000" w:sz="4" w:space="0"/>
              <w:left w:val="single" w:color="000000" w:sz="4" w:space="0"/>
              <w:bottom w:val="single" w:color="000000" w:sz="4" w:space="0"/>
              <w:right w:val="single" w:color="000000" w:sz="4" w:space="0"/>
            </w:tcBorders>
            <w:shd w:val="clear"/>
            <w:tcMar>
              <w:top w:w="50" w:type="dxa"/>
              <w:left w:w="50" w:type="dxa"/>
              <w:bottom w:w="50" w:type="dxa"/>
              <w:right w:w="50" w:type="dxa"/>
            </w:tcMar>
            <w:vAlign w:val="center"/>
          </w:tcPr>
          <w:p>
            <w:pPr>
              <w:rPr>
                <w:rFonts w:hint="default" w:ascii="΢���ź�" w:hAnsi="΢���ź�" w:eastAsia="΢���ź�" w:cs="΢���ź�"/>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二、</w:t>
      </w:r>
      <w:r>
        <w:rPr>
          <w:rStyle w:val="5"/>
          <w:rFonts w:hint="default" w:ascii="΢���ź�" w:hAnsi="΢���ź�" w:eastAsia="΢���ź�" w:cs="΢���ź�"/>
          <w:i w:val="0"/>
          <w:iCs w:val="0"/>
          <w:caps w:val="0"/>
          <w:color w:val="000000"/>
          <w:spacing w:val="0"/>
          <w:sz w:val="16"/>
          <w:szCs w:val="16"/>
          <w:bdr w:val="none" w:color="auto" w:sz="0" w:space="0"/>
          <w:shd w:val="clear" w:fill="FFFFFF"/>
        </w:rPr>
        <w:t>调剂分数线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1.初试成绩符合第一志愿报考专业在调入地区的全国初试成绩基本要求。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2.其他专业初试总分及单科分数均为国家线要求。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2.调入专业与第一志愿报考专业相同或相近，且在同一学科门类范围内（可授不同学科门类学位的可跨门类在对应专业所属一级学科范围内进行调剂）。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4.未尽事宜按照上级部门文件要求《扬州大学关于做好2023年硕士研究生复试录取工作的通知》及后续通知。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四、复试方式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1.考生采取网络远程复试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1.学院将在中国研究生招生信息网发布调剂学科与缺额（学院调剂系统具体开放时间：</w:t>
      </w:r>
      <w:r>
        <w:rPr>
          <w:rStyle w:val="5"/>
          <w:rFonts w:hint="default" w:ascii="΢���ź�" w:hAnsi="΢���ź�" w:eastAsia="΢���ź�" w:cs="΢���ź�"/>
          <w:i w:val="0"/>
          <w:iCs w:val="0"/>
          <w:caps w:val="0"/>
          <w:color w:val="000000"/>
          <w:spacing w:val="0"/>
          <w:sz w:val="16"/>
          <w:szCs w:val="16"/>
          <w:bdr w:val="none" w:color="auto" w:sz="0" w:space="0"/>
          <w:shd w:val="clear" w:fill="FFFFFF"/>
        </w:rPr>
        <w:t>4月10日19：00-11日15:00</w:t>
      </w:r>
      <w:r>
        <w:rPr>
          <w:rFonts w:hint="default" w:ascii="΢���ź�" w:hAnsi="΢���ź�" w:eastAsia="΢���ź�" w:cs="΢���ź�"/>
          <w:i w:val="0"/>
          <w:iCs w:val="0"/>
          <w:caps w:val="0"/>
          <w:color w:val="000000"/>
          <w:spacing w:val="0"/>
          <w:sz w:val="16"/>
          <w:szCs w:val="16"/>
          <w:bdr w:val="none" w:color="auto" w:sz="0" w:space="0"/>
          <w:shd w:val="clear" w:fill="FFFFFF"/>
        </w:rPr>
        <w:t>），考生务必在此时间段内登录“中国研究生招生信息网”填写调剂志愿，所有调剂考生必须通过中国研究生招生信息网报名。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2.学院通过调剂系统按初试成绩择优选择符合条件的考生。调剂名单报研究生院招生办审核后，学院通过调剂系统向拟复试考生发调剂复试通知。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3.考生参加复试，学院报送拟录取名单。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4.扬州大学研究生招生办公室在调剂系统向拟录取的考生发待录取通知。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5.考生登陆调剂系统接受待录取。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六、复试流程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1.请考生根据复试录取工作方案提前准备好相关复试资料，详见《扬州大学商学院2023年硕士研究生复试录取工作方案》（http://sxy.yzu.edu.cn/info/1074/4734.htm）。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2.全日制考生还需准备在校生成绩单、网络远程还需提交《诚信复试承诺书》。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3.考生需将相关材料做成PDF文件以“专业+姓名”命名后发送至指定邮箱。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4.拟调剂复试时间等待后续通知。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六、联系电话及邮箱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李老师：0514-87991905；</w:t>
      </w:r>
      <w:r>
        <w:rPr>
          <w:rFonts w:hint="default" w:ascii="΢���ź�" w:hAnsi="΢���ź�" w:eastAsia="΢���ź�" w:cs="΢���ź�"/>
          <w:i w:val="0"/>
          <w:iCs w:val="0"/>
          <w:caps w:val="0"/>
          <w:color w:val="1E50A2"/>
          <w:spacing w:val="0"/>
          <w:sz w:val="16"/>
          <w:szCs w:val="16"/>
          <w:u w:val="single"/>
          <w:bdr w:val="none" w:color="auto" w:sz="0" w:space="0"/>
          <w:shd w:val="clear" w:fill="FFFFFF"/>
        </w:rPr>
        <w:fldChar w:fldCharType="begin"/>
      </w:r>
      <w:r>
        <w:rPr>
          <w:rFonts w:hint="default" w:ascii="΢���ź�" w:hAnsi="΢���ź�" w:eastAsia="΢���ź�" w:cs="΢���ź�"/>
          <w:i w:val="0"/>
          <w:iCs w:val="0"/>
          <w:caps w:val="0"/>
          <w:color w:val="1E50A2"/>
          <w:spacing w:val="0"/>
          <w:sz w:val="16"/>
          <w:szCs w:val="16"/>
          <w:u w:val="single"/>
          <w:bdr w:val="none" w:color="auto" w:sz="0" w:space="0"/>
          <w:shd w:val="clear" w:fill="FFFFFF"/>
        </w:rPr>
        <w:instrText xml:space="preserve"> HYPERLINK "mailto:353771405@qq.com" </w:instrText>
      </w:r>
      <w:r>
        <w:rPr>
          <w:rFonts w:hint="default" w:ascii="΢���ź�" w:hAnsi="΢���ź�" w:eastAsia="΢���ź�" w:cs="΢���ź�"/>
          <w:i w:val="0"/>
          <w:iCs w:val="0"/>
          <w:caps w:val="0"/>
          <w:color w:val="1E50A2"/>
          <w:spacing w:val="0"/>
          <w:sz w:val="16"/>
          <w:szCs w:val="16"/>
          <w:u w:val="single"/>
          <w:bdr w:val="none" w:color="auto" w:sz="0" w:space="0"/>
          <w:shd w:val="clear" w:fill="FFFFFF"/>
        </w:rPr>
        <w:fldChar w:fldCharType="separate"/>
      </w:r>
      <w:r>
        <w:rPr>
          <w:rStyle w:val="6"/>
          <w:rFonts w:hint="default" w:ascii="΢���ź�" w:hAnsi="΢���ź�" w:eastAsia="΢���ź�" w:cs="΢���ź�"/>
          <w:i w:val="0"/>
          <w:iCs w:val="0"/>
          <w:caps w:val="0"/>
          <w:color w:val="1E50A2"/>
          <w:spacing w:val="0"/>
          <w:sz w:val="16"/>
          <w:szCs w:val="16"/>
          <w:u w:val="single"/>
          <w:bdr w:val="none" w:color="auto" w:sz="0" w:space="0"/>
          <w:shd w:val="clear" w:fill="FFFFFF"/>
        </w:rPr>
        <w:t>353771405@qq.com</w:t>
      </w:r>
      <w:r>
        <w:rPr>
          <w:rFonts w:hint="default" w:ascii="΢���ź�" w:hAnsi="΢���ź�" w:eastAsia="΢���ź�" w:cs="΢���ź�"/>
          <w:i w:val="0"/>
          <w:iCs w:val="0"/>
          <w:caps w:val="0"/>
          <w:color w:val="1E50A2"/>
          <w:spacing w:val="0"/>
          <w:sz w:val="16"/>
          <w:szCs w:val="16"/>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both"/>
        <w:rPr>
          <w:rFonts w:hint="default" w:ascii="΢���ź�" w:hAnsi="΢���ź�" w:eastAsia="΢���ź�" w:cs="΢���ź�"/>
          <w:sz w:val="16"/>
          <w:szCs w:val="16"/>
        </w:rPr>
      </w:pPr>
      <w:r>
        <w:rPr>
          <w:rStyle w:val="5"/>
          <w:rFonts w:hint="default" w:ascii="΢���ź�" w:hAnsi="΢���ź�" w:eastAsia="΢���ź�" w:cs="΢���ź�"/>
          <w:i w:val="0"/>
          <w:iCs w:val="0"/>
          <w:caps w:val="0"/>
          <w:color w:val="000000"/>
          <w:spacing w:val="0"/>
          <w:sz w:val="16"/>
          <w:szCs w:val="16"/>
          <w:bdr w:val="none" w:color="auto" w:sz="0" w:space="0"/>
          <w:shd w:val="clear" w:fill="FFFFFF"/>
        </w:rPr>
        <w:t>欢迎到扬州大学商学院继续深造！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right"/>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扬州大学商学院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right"/>
        <w:rPr>
          <w:rFonts w:hint="default" w:ascii="΢���ź�" w:hAnsi="΢���ź�" w:eastAsia="΢���ź�" w:cs="΢���ź�"/>
          <w:sz w:val="16"/>
          <w:szCs w:val="16"/>
        </w:rPr>
      </w:pPr>
      <w:r>
        <w:rPr>
          <w:rFonts w:hint="default" w:ascii="΢���ź�" w:hAnsi="΢���ź�" w:eastAsia="΢���ź�" w:cs="΢���ź�"/>
          <w:i w:val="0"/>
          <w:iCs w:val="0"/>
          <w:caps w:val="0"/>
          <w:color w:val="000000"/>
          <w:spacing w:val="0"/>
          <w:sz w:val="16"/>
          <w:szCs w:val="16"/>
          <w:bdr w:val="none" w:color="auto" w:sz="0" w:space="0"/>
          <w:shd w:val="clear" w:fill="FFFFFF"/>
        </w:rPr>
        <w:t>2023年4月10日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0911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2023-04-22T10:44:03Z</dcterms:created>
  <dc:creator>Administrator</dc:creator>
  <cp:lastModifiedBy>王英</cp:lastModifiedBy>
  <dcterms:modified xsi:type="dcterms:W3CDTF">2023-04-22T10:44:10Z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90C370B8F5954AA7837CC90F58095BF5</vt:lpwstr>
  </property>
</Properties>
</file>