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kern w:val="0"/>
          <w:sz w:val="20"/>
          <w:szCs w:val="20"/>
          <w:bdr w:val="none" w:color="auto" w:sz="0" w:space="0"/>
          <w:lang w:val="en-US" w:eastAsia="zh-CN" w:bidi="ar"/>
        </w:rPr>
        <w:t>扬州大学新闻与传媒学院2023年硕士研究生招生调剂方案二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/>
        <w:jc w:val="center"/>
        <w:rPr>
          <w:color w:val="8A8A8A"/>
          <w:sz w:val="13"/>
          <w:szCs w:val="13"/>
        </w:rPr>
      </w:pPr>
      <w:r>
        <w:rPr>
          <w:rFonts w:ascii="宋体" w:hAnsi="宋体" w:eastAsia="宋体" w:cs="宋体"/>
          <w:color w:val="8A8A8A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发布日期：2023-04-18浏览次数：659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根据我院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年硕士研究生招生计划及一志愿复试情况，部分学科、专业类别（领域）（以下简称专业）可接收调剂，具体见附表，欢迎广大优秀考生调剂报考我院。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一、调剂原则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（一）符合我院招生简章中规定的调入专业的报考条件。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（二）初试成绩符合调剂系统公告中公布的接收调剂专业复试分数线。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（三）调入专业与第一志愿报考专业相同或相近，应在同一学科门类范围内。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（四）初试科目与调入专业初试科目相同或相近，其中初试全国统一命题科目应与调入专业全国统一命题科目相同。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Style w:val="5"/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二、调剂安排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（一）调剂时间：全国硕士研究生招生考试网调剂系统（以下简称调剂系统）将于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18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日开通，具体时间为：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18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日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11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：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00-23:00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（详情请见调剂指标）。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（二）所有申请调剂我院的考生，须在规定时间内通过调剂系统报名，逾期视为无效。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（三）请考生密切关注我院官网发布的有关通知，查看调剂要求及复试安排等。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（四）学院根据调剂报名人数和复试情况，对各专业招生计划可做适当调整。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（五）我院未授权任何社会机构进行研究生调剂、复试录取等工作，复试调剂有关信息请以学校（学院）官方发布的信息为准，谨防受骗。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（六）未尽事宜按照上级部门文件要求，以及《扬州大学关于做好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2023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年硕士研究生复试录取工作的通知》和我院发布的相关工作办法执行。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350"/>
        <w:jc w:val="center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       扬州大学新闻与传媒学院</w:t>
      </w:r>
      <w:r>
        <w:rPr>
          <w:rFonts w:hint="default" w:ascii="华文仿宋" w:hAnsi="华文仿宋" w:eastAsia="华文仿宋" w:cs="华文仿宋"/>
          <w:sz w:val="21"/>
          <w:szCs w:val="21"/>
          <w:bdr w:val="none" w:color="auto" w:sz="0" w:space="0"/>
          <w:shd w:val="clear" w:fill="FFFFFF"/>
        </w:rPr>
        <w:t>                        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2990"/>
      </w:pP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                                                                                               2023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4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  <w:lang w:val="en-US"/>
        </w:rPr>
        <w:t>18</w:t>
      </w:r>
      <w:r>
        <w:rPr>
          <w:rFonts w:hint="default" w:ascii="华文仿宋" w:hAnsi="华文仿宋" w:eastAsia="华文仿宋" w:cs="华文仿宋"/>
          <w:color w:val="000000"/>
          <w:sz w:val="21"/>
          <w:szCs w:val="21"/>
          <w:bdr w:val="none" w:color="auto" w:sz="0" w:space="0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430"/>
        <w:jc w:val="center"/>
      </w:pPr>
      <w:r>
        <w:rPr>
          <w:rFonts w:hint="default" w:ascii="华文仿宋" w:hAnsi="华文仿宋" w:eastAsia="华文仿宋" w:cs="华文仿宋"/>
          <w:color w:val="000000"/>
          <w:sz w:val="32"/>
          <w:szCs w:val="32"/>
          <w:bdr w:val="none" w:color="auto" w:sz="0" w:space="0"/>
          <w:shd w:val="clear" w:fill="FFFFFF"/>
        </w:rPr>
        <w:t>调剂指标</w:t>
      </w:r>
    </w:p>
    <w:tbl>
      <w:tblPr>
        <w:tblW w:w="64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827"/>
        <w:gridCol w:w="681"/>
        <w:gridCol w:w="664"/>
        <w:gridCol w:w="1635"/>
        <w:gridCol w:w="672"/>
        <w:gridCol w:w="11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专业代码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专业名称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学习方式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初试总分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调剂条件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调剂指标</w:t>
            </w:r>
          </w:p>
        </w:tc>
        <w:tc>
          <w:tcPr>
            <w:tcW w:w="10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调剂时间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6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055200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新闻与传播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非全日制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363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英语政治＞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55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，专业课＞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100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，一志愿新闻与传播优先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6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</w:pP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18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11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</w:rPr>
              <w:t>：</w:t>
            </w:r>
            <w:r>
              <w:rPr>
                <w:rFonts w:hint="default" w:ascii="华文仿宋" w:hAnsi="华文仿宋" w:eastAsia="华文仿宋" w:cs="华文仿宋"/>
                <w:color w:val="000000"/>
                <w:bdr w:val="none" w:color="auto" w:sz="0" w:space="0"/>
                <w:shd w:val="clear" w:fill="FFFFFF"/>
                <w:lang w:val="en-US"/>
              </w:rPr>
              <w:t>00-23:00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EB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2023-04-22T09:33:45Z</dcterms:created>
  <dc:creator>Administrator</dc:creator>
  <cp:lastModifiedBy>王英</cp:lastModifiedBy>
  <dcterms:modified xsi:type="dcterms:W3CDTF">2023-04-22T09:33:57Z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5C58C84D0D9A4DDD8A840D27B2101C4B</vt:lpwstr>
  </property>
</Properties>
</file>