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kern w:val="0"/>
          <w:sz w:val="20"/>
          <w:szCs w:val="20"/>
          <w:bdr w:val="none" w:color="auto" w:sz="0" w:space="0"/>
          <w:shd w:val="clear" w:fill="FFFFFF"/>
          <w:lang w:val="en-US" w:eastAsia="zh-CN" w:bidi="ar"/>
        </w:rPr>
        <w:t>扬州大学环境科学与工程学院2023年接收调剂考生公告（三）</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3F3F3"/>
          <w:lang w:val="en-US" w:eastAsia="zh-CN" w:bidi="ar"/>
        </w:rPr>
        <w:t>发布日期：2023-04-11浏览次数：622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both"/>
      </w:pPr>
      <w:r>
        <w:rPr>
          <w:rFonts w:ascii="仿宋_GB2312" w:hAnsi="Times New Roman" w:eastAsia="仿宋_GB2312" w:cs="仿宋_GB2312"/>
          <w:i w:val="0"/>
          <w:iCs w:val="0"/>
          <w:caps w:val="0"/>
          <w:color w:val="333333"/>
          <w:spacing w:val="0"/>
          <w:sz w:val="19"/>
          <w:szCs w:val="19"/>
          <w:bdr w:val="none" w:color="auto" w:sz="0" w:space="0"/>
          <w:shd w:val="clear" w:fill="FFFFFF"/>
        </w:rPr>
        <w:t>根据</w:t>
      </w:r>
      <w:r>
        <w:rPr>
          <w:rFonts w:hint="default" w:ascii="仿宋_GB2312" w:hAnsi="仿宋_GB2312" w:eastAsia="仿宋_GB2312" w:cs="仿宋_GB2312"/>
          <w:i w:val="0"/>
          <w:iCs w:val="0"/>
          <w:caps w:val="0"/>
          <w:color w:val="333333"/>
          <w:spacing w:val="0"/>
          <w:sz w:val="19"/>
          <w:szCs w:val="19"/>
          <w:bdr w:val="none" w:color="auto" w:sz="0" w:space="0"/>
          <w:shd w:val="clear" w:fill="FFFFFF"/>
        </w:rPr>
        <w:t>《扬州大学</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2023</w:t>
      </w:r>
      <w:r>
        <w:rPr>
          <w:rFonts w:hint="default" w:ascii="仿宋_GB2312" w:hAnsi="仿宋_GB2312" w:eastAsia="仿宋_GB2312" w:cs="仿宋_GB2312"/>
          <w:i w:val="0"/>
          <w:iCs w:val="0"/>
          <w:caps w:val="0"/>
          <w:color w:val="333333"/>
          <w:spacing w:val="0"/>
          <w:sz w:val="19"/>
          <w:szCs w:val="19"/>
          <w:bdr w:val="none" w:color="auto" w:sz="0" w:space="0"/>
          <w:shd w:val="clear" w:fill="FFFFFF"/>
        </w:rPr>
        <w:t>年硕士研究生复试录取工作办法》（下文简称</w:t>
      </w:r>
      <w:r>
        <w:rPr>
          <w:rFonts w:hint="default" w:ascii="仿宋_GB2312" w:hAnsi="Times New Roman" w:eastAsia="仿宋_GB2312" w:cs="仿宋_GB2312"/>
          <w:i w:val="0"/>
          <w:iCs w:val="0"/>
          <w:caps w:val="0"/>
          <w:color w:val="333333"/>
          <w:spacing w:val="0"/>
          <w:sz w:val="19"/>
          <w:szCs w:val="19"/>
          <w:bdr w:val="none" w:color="auto" w:sz="0" w:space="0"/>
          <w:shd w:val="clear" w:fill="FFFFFF"/>
        </w:rPr>
        <w:t>《工作办法》</w:t>
      </w:r>
      <w:r>
        <w:rPr>
          <w:rFonts w:hint="default" w:ascii="仿宋_GB2312" w:hAnsi="仿宋_GB2312" w:eastAsia="仿宋_GB2312" w:cs="仿宋_GB2312"/>
          <w:i w:val="0"/>
          <w:iCs w:val="0"/>
          <w:caps w:val="0"/>
          <w:color w:val="333333"/>
          <w:spacing w:val="0"/>
          <w:sz w:val="19"/>
          <w:szCs w:val="19"/>
          <w:bdr w:val="none" w:color="auto" w:sz="0" w:space="0"/>
          <w:shd w:val="clear" w:fill="FFFFFF"/>
        </w:rPr>
        <w:t>）精神，结合我院</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2023</w:t>
      </w:r>
      <w:r>
        <w:rPr>
          <w:rFonts w:hint="default" w:ascii="仿宋_GB2312" w:hAnsi="仿宋_GB2312" w:eastAsia="仿宋_GB2312" w:cs="仿宋_GB2312"/>
          <w:i w:val="0"/>
          <w:iCs w:val="0"/>
          <w:caps w:val="0"/>
          <w:color w:val="333333"/>
          <w:spacing w:val="0"/>
          <w:sz w:val="19"/>
          <w:szCs w:val="19"/>
          <w:bdr w:val="none" w:color="auto" w:sz="0" w:space="0"/>
          <w:shd w:val="clear" w:fill="FFFFFF"/>
        </w:rPr>
        <w:t>年度硕士研究生招生工作实际，现发布我院</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2023</w:t>
      </w:r>
      <w:r>
        <w:rPr>
          <w:rFonts w:hint="default" w:ascii="仿宋_GB2312" w:hAnsi="仿宋_GB2312" w:eastAsia="仿宋_GB2312" w:cs="仿宋_GB2312"/>
          <w:i w:val="0"/>
          <w:iCs w:val="0"/>
          <w:caps w:val="0"/>
          <w:color w:val="333333"/>
          <w:spacing w:val="0"/>
          <w:sz w:val="19"/>
          <w:szCs w:val="19"/>
          <w:bdr w:val="none" w:color="auto" w:sz="0" w:space="0"/>
          <w:shd w:val="clear" w:fill="FFFFFF"/>
        </w:rPr>
        <w:t>年接收调剂考生公告：</w:t>
      </w:r>
    </w:p>
    <w:tbl>
      <w:tblPr>
        <w:tblW w:w="66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01"/>
        <w:gridCol w:w="650"/>
        <w:gridCol w:w="2254"/>
        <w:gridCol w:w="519"/>
        <w:gridCol w:w="898"/>
        <w:gridCol w:w="499"/>
        <w:gridCol w:w="719"/>
        <w:gridCol w:w="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00" w:hRule="atLeast"/>
        </w:trPr>
        <w:tc>
          <w:tcPr>
            <w:tcW w:w="300" w:type="dxa"/>
            <w:tcBorders>
              <w:top w:val="single" w:color="auto" w:sz="8" w:space="0"/>
              <w:left w:val="single" w:color="auto" w:sz="8"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ascii="楷体_gb2312" w:hAnsi="楷体_gb2312" w:eastAsia="楷体_gb2312" w:cs="楷体_gb2312"/>
                <w:sz w:val="16"/>
                <w:szCs w:val="16"/>
                <w:bdr w:val="none" w:color="auto" w:sz="0" w:space="0"/>
              </w:rPr>
              <w:t>序号</w:t>
            </w:r>
          </w:p>
        </w:tc>
        <w:tc>
          <w:tcPr>
            <w:tcW w:w="65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hint="default" w:ascii="楷体_gb2312" w:hAnsi="楷体_gb2312" w:eastAsia="楷体_gb2312" w:cs="楷体_gb2312"/>
                <w:sz w:val="16"/>
                <w:szCs w:val="16"/>
                <w:bdr w:val="none" w:color="auto" w:sz="0" w:space="0"/>
              </w:rPr>
              <w:t>专业代码</w:t>
            </w:r>
          </w:p>
        </w:tc>
        <w:tc>
          <w:tcPr>
            <w:tcW w:w="226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hint="default" w:ascii="楷体_gb2312" w:hAnsi="楷体_gb2312" w:eastAsia="楷体_gb2312" w:cs="楷体_gb2312"/>
                <w:sz w:val="16"/>
                <w:szCs w:val="16"/>
                <w:bdr w:val="none" w:color="auto" w:sz="0" w:space="0"/>
              </w:rPr>
              <w:t>专业名称</w:t>
            </w:r>
          </w:p>
        </w:tc>
        <w:tc>
          <w:tcPr>
            <w:tcW w:w="52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5"/>
                <w:rFonts w:hint="default" w:ascii="仿宋_GB2312" w:hAnsi="仿宋_GB2312" w:eastAsia="仿宋_GB2312" w:cs="仿宋_GB2312"/>
                <w:sz w:val="16"/>
                <w:szCs w:val="16"/>
                <w:bdr w:val="none" w:color="auto" w:sz="0" w:space="0"/>
              </w:rPr>
              <w:t>调剂名额</w:t>
            </w:r>
          </w:p>
        </w:tc>
        <w:tc>
          <w:tcPr>
            <w:tcW w:w="900" w:type="dxa"/>
            <w:tcBorders>
              <w:top w:val="single" w:color="auto" w:sz="8"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hint="default" w:ascii="仿宋_GB2312" w:hAnsi="仿宋_GB2312" w:eastAsia="仿宋_GB2312" w:cs="仿宋_GB2312"/>
                <w:sz w:val="16"/>
                <w:szCs w:val="16"/>
                <w:bdr w:val="none" w:color="auto" w:sz="0" w:space="0"/>
              </w:rPr>
              <w:t>学习形式</w:t>
            </w:r>
          </w:p>
        </w:tc>
        <w:tc>
          <w:tcPr>
            <w:tcW w:w="50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hint="default" w:ascii="楷体_gb2312" w:hAnsi="楷体_gb2312" w:eastAsia="楷体_gb2312" w:cs="楷体_gb2312"/>
                <w:sz w:val="16"/>
                <w:szCs w:val="16"/>
                <w:bdr w:val="none" w:color="auto" w:sz="0" w:space="0"/>
              </w:rPr>
              <w:t>总分</w:t>
            </w:r>
          </w:p>
        </w:tc>
        <w:tc>
          <w:tcPr>
            <w:tcW w:w="72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ascii="楷体_gb2312" w:hAnsi="楷体_gb2312" w:eastAsia="楷体_gb2312" w:cs="楷体_gb2312"/>
                <w:sz w:val="16"/>
                <w:szCs w:val="16"/>
                <w:bdr w:val="none" w:color="auto" w:sz="0" w:space="0"/>
              </w:rPr>
              <w:t>单科</w:t>
            </w:r>
            <w:r>
              <w:rPr>
                <w:rStyle w:val="5"/>
                <w:rFonts w:ascii="Calibri" w:hAnsi="Calibri" w:eastAsia="楷体_gb2312" w:cs="Calibri"/>
                <w:sz w:val="16"/>
                <w:szCs w:val="16"/>
                <w:bdr w:val="none" w:color="auto" w:sz="0" w:space="0"/>
              </w:rPr>
              <w:t>(</w:t>
            </w:r>
            <w:r>
              <w:rPr>
                <w:rStyle w:val="5"/>
                <w:rFonts w:hint="default" w:ascii="楷体_gb2312" w:hAnsi="楷体_gb2312" w:eastAsia="楷体_gb2312" w:cs="楷体_gb2312"/>
                <w:sz w:val="16"/>
                <w:szCs w:val="16"/>
                <w:bdr w:val="none" w:color="auto" w:sz="0" w:space="0"/>
              </w:rPr>
              <w:t>满分</w:t>
            </w:r>
            <w:r>
              <w:rPr>
                <w:rStyle w:val="5"/>
                <w:rFonts w:hint="default" w:ascii="Calibri" w:hAnsi="Calibri" w:eastAsia="楷体_gb2312" w:cs="Calibri"/>
                <w:sz w:val="16"/>
                <w:szCs w:val="16"/>
                <w:bdr w:val="none" w:color="auto" w:sz="0" w:space="0"/>
              </w:rPr>
              <w:t>=100)</w:t>
            </w:r>
          </w:p>
        </w:tc>
        <w:tc>
          <w:tcPr>
            <w:tcW w:w="800" w:type="dxa"/>
            <w:tcBorders>
              <w:top w:val="single" w:color="auto" w:sz="8"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Style w:val="5"/>
                <w:rFonts w:hint="default" w:ascii="楷体_gb2312" w:hAnsi="楷体_gb2312" w:eastAsia="楷体_gb2312" w:cs="楷体_gb2312"/>
                <w:sz w:val="16"/>
                <w:szCs w:val="16"/>
                <w:bdr w:val="none" w:color="auto" w:sz="0" w:space="0"/>
              </w:rPr>
              <w:t>单科</w:t>
            </w:r>
            <w:r>
              <w:rPr>
                <w:rStyle w:val="5"/>
                <w:rFonts w:hint="default" w:ascii="Calibri" w:hAnsi="Calibri" w:eastAsia="楷体_gb2312" w:cs="Calibri"/>
                <w:sz w:val="16"/>
                <w:szCs w:val="16"/>
                <w:bdr w:val="none" w:color="auto" w:sz="0" w:space="0"/>
              </w:rPr>
              <w:t>(</w:t>
            </w:r>
            <w:r>
              <w:rPr>
                <w:rStyle w:val="5"/>
                <w:rFonts w:hint="default" w:ascii="楷体_gb2312" w:hAnsi="楷体_gb2312" w:eastAsia="楷体_gb2312" w:cs="楷体_gb2312"/>
                <w:sz w:val="16"/>
                <w:szCs w:val="16"/>
                <w:bdr w:val="none" w:color="auto" w:sz="0" w:space="0"/>
              </w:rPr>
              <w:t>满分</w:t>
            </w:r>
            <w:r>
              <w:rPr>
                <w:rStyle w:val="5"/>
                <w:rFonts w:hint="default" w:ascii="Calibri" w:hAnsi="Calibri" w:eastAsia="楷体_gb2312" w:cs="Calibri"/>
                <w:sz w:val="16"/>
                <w:szCs w:val="16"/>
                <w:bdr w:val="none" w:color="auto" w:sz="0" w:space="0"/>
              </w:rPr>
              <w:t>&gt;100)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30" w:hRule="atLeast"/>
        </w:trPr>
        <w:tc>
          <w:tcPr>
            <w:tcW w:w="300" w:type="dxa"/>
            <w:tcBorders>
              <w:top w:val="double" w:color="auto" w:sz="2" w:space="0"/>
              <w:left w:val="single" w:color="auto" w:sz="8"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仿宋" w:hAnsi="仿宋" w:eastAsia="仿宋" w:cs="仿宋"/>
                <w:sz w:val="14"/>
                <w:szCs w:val="14"/>
                <w:bdr w:val="none" w:color="auto" w:sz="0" w:space="0"/>
              </w:rPr>
              <w:t>1</w:t>
            </w:r>
          </w:p>
        </w:tc>
        <w:tc>
          <w:tcPr>
            <w:tcW w:w="650" w:type="dxa"/>
            <w:tcBorders>
              <w:top w:val="double" w:color="auto" w:sz="2"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090300</w:t>
            </w:r>
          </w:p>
        </w:tc>
        <w:tc>
          <w:tcPr>
            <w:tcW w:w="2260" w:type="dxa"/>
            <w:tcBorders>
              <w:top w:val="double" w:color="auto" w:sz="2"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农业资源与环境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04</w:t>
            </w:r>
            <w:r>
              <w:rPr>
                <w:bdr w:val="none" w:color="auto" w:sz="0" w:space="0"/>
              </w:rPr>
              <w:t> </w:t>
            </w:r>
            <w:r>
              <w:rPr>
                <w:rFonts w:hint="eastAsia" w:ascii="仿宋" w:hAnsi="仿宋" w:eastAsia="仿宋" w:cs="仿宋"/>
                <w:sz w:val="14"/>
                <w:szCs w:val="14"/>
                <w:bdr w:val="none" w:color="auto" w:sz="0" w:space="0"/>
              </w:rPr>
              <w:t>植物营养生理与抗逆机理</w:t>
            </w:r>
          </w:p>
        </w:tc>
        <w:tc>
          <w:tcPr>
            <w:tcW w:w="520" w:type="dxa"/>
            <w:tcBorders>
              <w:top w:val="double" w:color="auto" w:sz="2" w:space="0"/>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1</w:t>
            </w:r>
          </w:p>
        </w:tc>
        <w:tc>
          <w:tcPr>
            <w:tcW w:w="900" w:type="dxa"/>
            <w:tcBorders>
              <w:top w:val="double" w:color="auto" w:sz="2"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全日制</w:t>
            </w:r>
          </w:p>
        </w:tc>
        <w:tc>
          <w:tcPr>
            <w:tcW w:w="5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251</w:t>
            </w:r>
          </w:p>
        </w:tc>
        <w:tc>
          <w:tcPr>
            <w:tcW w:w="72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38</w:t>
            </w:r>
          </w:p>
        </w:tc>
        <w:tc>
          <w:tcPr>
            <w:tcW w:w="8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0" w:hRule="atLeast"/>
        </w:trPr>
        <w:tc>
          <w:tcPr>
            <w:tcW w:w="300" w:type="dxa"/>
            <w:tcBorders>
              <w:top w:val="nil"/>
              <w:left w:val="single" w:color="auto" w:sz="8"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2</w:t>
            </w:r>
          </w:p>
        </w:tc>
        <w:tc>
          <w:tcPr>
            <w:tcW w:w="65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090300</w:t>
            </w:r>
          </w:p>
        </w:tc>
        <w:tc>
          <w:tcPr>
            <w:tcW w:w="226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农业资源与环境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05</w:t>
            </w:r>
            <w:r>
              <w:rPr>
                <w:bdr w:val="none" w:color="auto" w:sz="0" w:space="0"/>
              </w:rPr>
              <w:t> </w:t>
            </w:r>
            <w:r>
              <w:rPr>
                <w:rFonts w:hint="eastAsia" w:ascii="仿宋" w:hAnsi="仿宋" w:eastAsia="仿宋" w:cs="仿宋"/>
                <w:sz w:val="14"/>
                <w:szCs w:val="14"/>
                <w:bdr w:val="none" w:color="auto" w:sz="0" w:space="0"/>
              </w:rPr>
              <w:t>养分资源管理与水肥一体化</w:t>
            </w:r>
          </w:p>
        </w:tc>
        <w:tc>
          <w:tcPr>
            <w:tcW w:w="52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1</w:t>
            </w:r>
          </w:p>
        </w:tc>
        <w:tc>
          <w:tcPr>
            <w:tcW w:w="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全日制</w:t>
            </w:r>
          </w:p>
        </w:tc>
        <w:tc>
          <w:tcPr>
            <w:tcW w:w="5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251</w:t>
            </w:r>
          </w:p>
        </w:tc>
        <w:tc>
          <w:tcPr>
            <w:tcW w:w="72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38</w:t>
            </w:r>
          </w:p>
        </w:tc>
        <w:tc>
          <w:tcPr>
            <w:tcW w:w="8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0" w:hRule="atLeast"/>
        </w:trPr>
        <w:tc>
          <w:tcPr>
            <w:tcW w:w="300" w:type="dxa"/>
            <w:tcBorders>
              <w:top w:val="nil"/>
              <w:left w:val="single" w:color="auto" w:sz="8"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3</w:t>
            </w:r>
          </w:p>
        </w:tc>
        <w:tc>
          <w:tcPr>
            <w:tcW w:w="65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095132</w:t>
            </w:r>
          </w:p>
        </w:tc>
        <w:tc>
          <w:tcPr>
            <w:tcW w:w="226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资源利用与植物保护</w:t>
            </w:r>
          </w:p>
        </w:tc>
        <w:tc>
          <w:tcPr>
            <w:tcW w:w="52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1</w:t>
            </w:r>
          </w:p>
        </w:tc>
        <w:tc>
          <w:tcPr>
            <w:tcW w:w="9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4"/>
                <w:szCs w:val="14"/>
                <w:bdr w:val="none" w:color="auto" w:sz="0" w:space="0"/>
              </w:rPr>
              <w:t>全日制</w:t>
            </w:r>
          </w:p>
        </w:tc>
        <w:tc>
          <w:tcPr>
            <w:tcW w:w="5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251</w:t>
            </w:r>
          </w:p>
        </w:tc>
        <w:tc>
          <w:tcPr>
            <w:tcW w:w="72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38</w:t>
            </w:r>
          </w:p>
        </w:tc>
        <w:tc>
          <w:tcPr>
            <w:tcW w:w="80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4"/>
                <w:szCs w:val="14"/>
                <w:bdr w:val="none" w:color="auto" w:sz="0" w:space="0"/>
              </w:rPr>
              <w:t>57</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both"/>
      </w:pPr>
      <w:r>
        <w:rPr>
          <w:rFonts w:hint="default" w:ascii="仿宋_GB2312" w:hAnsi="Times New Roman" w:eastAsia="仿宋_GB2312" w:cs="仿宋_GB2312"/>
          <w:i w:val="0"/>
          <w:iCs w:val="0"/>
          <w:caps w:val="0"/>
          <w:color w:val="333333"/>
          <w:spacing w:val="0"/>
          <w:sz w:val="19"/>
          <w:szCs w:val="19"/>
          <w:bdr w:val="none" w:color="auto" w:sz="0" w:space="0"/>
          <w:shd w:val="clear" w:fill="FFFFFF"/>
        </w:rPr>
        <w:t>调剂要求</w:t>
      </w:r>
      <w:r>
        <w:rPr>
          <w:rFonts w:hint="default" w:ascii="仿宋_GB2312" w:hAnsi="仿宋_GB2312" w:eastAsia="仿宋_GB2312" w:cs="仿宋_GB2312"/>
          <w:i w:val="0"/>
          <w:iCs w:val="0"/>
          <w:caps w:val="0"/>
          <w:color w:val="333333"/>
          <w:spacing w:val="0"/>
          <w:sz w:val="19"/>
          <w:szCs w:val="19"/>
          <w:bdr w:val="none" w:color="auto" w:sz="0" w:space="0"/>
          <w:shd w:val="clear" w:fill="FFFFFF"/>
        </w:rPr>
        <w:t>：</w:t>
      </w:r>
      <w:r>
        <w:rPr>
          <w:rFonts w:hint="default" w:ascii="Times New Roman" w:hAnsi="Times New Roman" w:eastAsia="微软雅黑" w:cs="Times New Roman"/>
          <w:i w:val="0"/>
          <w:iCs w:val="0"/>
          <w:caps w:val="0"/>
          <w:color w:val="333333"/>
          <w:spacing w:val="0"/>
          <w:sz w:val="19"/>
          <w:szCs w:val="19"/>
          <w:bdr w:val="none" w:color="auto" w:sz="0" w:space="0"/>
          <w:shd w:val="clear" w:fill="FFFFFF"/>
        </w:rPr>
        <w:t>1.</w:t>
      </w:r>
      <w:r>
        <w:rPr>
          <w:rFonts w:hint="default" w:ascii="仿宋_GB2312" w:hAnsi="Times New Roman" w:eastAsia="仿宋_GB2312" w:cs="仿宋_GB2312"/>
          <w:i w:val="0"/>
          <w:iCs w:val="0"/>
          <w:caps w:val="0"/>
          <w:color w:val="333333"/>
          <w:spacing w:val="0"/>
          <w:sz w:val="19"/>
          <w:szCs w:val="19"/>
          <w:bdr w:val="none" w:color="auto" w:sz="0" w:space="0"/>
          <w:shd w:val="clear" w:fill="FFFFFF"/>
        </w:rPr>
        <w:t>符合调入专业的报考条件</w:t>
      </w:r>
      <w:r>
        <w:rPr>
          <w:rFonts w:hint="default" w:ascii="仿宋_GB2312" w:hAnsi="仿宋_GB2312" w:eastAsia="仿宋_GB2312" w:cs="仿宋_GB2312"/>
          <w:i w:val="0"/>
          <w:iCs w:val="0"/>
          <w:caps w:val="0"/>
          <w:color w:val="333333"/>
          <w:spacing w:val="0"/>
          <w:sz w:val="19"/>
          <w:szCs w:val="19"/>
          <w:bdr w:val="none" w:color="auto" w:sz="0" w:space="0"/>
          <w:shd w:val="clear" w:fill="FFFFFF"/>
        </w:rPr>
        <w:t>；</w:t>
      </w:r>
      <w:r>
        <w:rPr>
          <w:rFonts w:hint="default" w:ascii="Times New Roman" w:hAnsi="Times New Roman" w:eastAsia="微软雅黑" w:cs="Times New Roman"/>
          <w:i w:val="0"/>
          <w:iCs w:val="0"/>
          <w:caps w:val="0"/>
          <w:color w:val="333333"/>
          <w:spacing w:val="0"/>
          <w:sz w:val="19"/>
          <w:szCs w:val="19"/>
          <w:bdr w:val="none" w:color="auto" w:sz="0" w:space="0"/>
          <w:shd w:val="clear" w:fill="FFFFFF"/>
        </w:rPr>
        <w:t>2.</w:t>
      </w:r>
      <w:r>
        <w:rPr>
          <w:rFonts w:hint="default" w:ascii="仿宋_GB2312" w:hAnsi="Times New Roman" w:eastAsia="仿宋_GB2312" w:cs="仿宋_GB2312"/>
          <w:i w:val="0"/>
          <w:iCs w:val="0"/>
          <w:caps w:val="0"/>
          <w:color w:val="333333"/>
          <w:spacing w:val="0"/>
          <w:sz w:val="19"/>
          <w:szCs w:val="19"/>
          <w:bdr w:val="none" w:color="auto" w:sz="0" w:space="0"/>
          <w:shd w:val="clear" w:fill="FFFFFF"/>
        </w:rPr>
        <w:t>初试成绩符合第一志愿报考专业在调入地区的全国初试成绩基本要求</w:t>
      </w:r>
      <w:r>
        <w:rPr>
          <w:rFonts w:hint="default" w:ascii="仿宋_GB2312" w:hAnsi="仿宋_GB2312" w:eastAsia="仿宋_GB2312" w:cs="仿宋_GB2312"/>
          <w:i w:val="0"/>
          <w:iCs w:val="0"/>
          <w:caps w:val="0"/>
          <w:color w:val="333333"/>
          <w:spacing w:val="0"/>
          <w:sz w:val="19"/>
          <w:szCs w:val="19"/>
          <w:bdr w:val="none" w:color="auto" w:sz="0" w:space="0"/>
          <w:shd w:val="clear" w:fill="FFFFFF"/>
        </w:rPr>
        <w:t>；</w:t>
      </w:r>
      <w:r>
        <w:rPr>
          <w:rFonts w:hint="default" w:ascii="Times New Roman" w:hAnsi="Times New Roman" w:eastAsia="微软雅黑" w:cs="Times New Roman"/>
          <w:i w:val="0"/>
          <w:iCs w:val="0"/>
          <w:caps w:val="0"/>
          <w:color w:val="333333"/>
          <w:spacing w:val="0"/>
          <w:sz w:val="19"/>
          <w:szCs w:val="19"/>
          <w:bdr w:val="none" w:color="auto" w:sz="0" w:space="0"/>
          <w:shd w:val="clear" w:fill="FFFFFF"/>
        </w:rPr>
        <w:t>3.</w:t>
      </w:r>
      <w:r>
        <w:rPr>
          <w:rFonts w:hint="default" w:ascii="仿宋_GB2312" w:hAnsi="Times New Roman" w:eastAsia="仿宋_GB2312" w:cs="仿宋_GB2312"/>
          <w:i w:val="0"/>
          <w:iCs w:val="0"/>
          <w:caps w:val="0"/>
          <w:color w:val="333333"/>
          <w:spacing w:val="0"/>
          <w:sz w:val="19"/>
          <w:szCs w:val="19"/>
          <w:bdr w:val="none" w:color="auto" w:sz="0" w:space="0"/>
          <w:shd w:val="clear" w:fill="FFFFFF"/>
        </w:rPr>
        <w:t>调入专业与第一志愿报考专业相同或相近</w:t>
      </w:r>
      <w:r>
        <w:rPr>
          <w:rFonts w:hint="default" w:ascii="仿宋_GB2312" w:hAnsi="仿宋_GB2312" w:eastAsia="仿宋_GB2312" w:cs="仿宋_GB2312"/>
          <w:i w:val="0"/>
          <w:iCs w:val="0"/>
          <w:caps w:val="0"/>
          <w:color w:val="333333"/>
          <w:spacing w:val="0"/>
          <w:sz w:val="19"/>
          <w:szCs w:val="19"/>
          <w:bdr w:val="none" w:color="auto" w:sz="0" w:space="0"/>
          <w:shd w:val="clear" w:fill="FFFFFF"/>
        </w:rPr>
        <w:t>，且在同一学科门类范围内（可授不同学科门类学位的可跨门类在对应专业所属一级学科范围内进行调剂）；</w:t>
      </w:r>
      <w:r>
        <w:rPr>
          <w:rFonts w:hint="default" w:ascii="Times New Roman" w:hAnsi="Times New Roman" w:eastAsia="微软雅黑" w:cs="Times New Roman"/>
          <w:i w:val="0"/>
          <w:iCs w:val="0"/>
          <w:caps w:val="0"/>
          <w:color w:val="333333"/>
          <w:spacing w:val="0"/>
          <w:sz w:val="19"/>
          <w:szCs w:val="19"/>
          <w:bdr w:val="none" w:color="auto" w:sz="0" w:space="0"/>
          <w:shd w:val="clear" w:fill="FFFFFF"/>
        </w:rPr>
        <w:t>4.</w:t>
      </w:r>
      <w:r>
        <w:rPr>
          <w:rFonts w:hint="default" w:ascii="仿宋_GB2312" w:hAnsi="Times New Roman" w:eastAsia="仿宋_GB2312" w:cs="仿宋_GB2312"/>
          <w:i w:val="0"/>
          <w:iCs w:val="0"/>
          <w:caps w:val="0"/>
          <w:color w:val="333333"/>
          <w:spacing w:val="0"/>
          <w:sz w:val="19"/>
          <w:szCs w:val="19"/>
          <w:bdr w:val="none" w:color="auto" w:sz="0" w:space="0"/>
          <w:shd w:val="clear" w:fill="FFFFFF"/>
        </w:rPr>
        <w:t>考生初试科目应与调入专业初试科目相同或相近，</w:t>
      </w:r>
      <w:r>
        <w:rPr>
          <w:rFonts w:hint="default" w:ascii="仿宋_GB2312" w:hAnsi="仿宋_GB2312" w:eastAsia="仿宋_GB2312" w:cs="仿宋_GB2312"/>
          <w:i w:val="0"/>
          <w:iCs w:val="0"/>
          <w:caps w:val="0"/>
          <w:color w:val="333333"/>
          <w:spacing w:val="0"/>
          <w:sz w:val="19"/>
          <w:szCs w:val="19"/>
          <w:bdr w:val="none" w:color="auto" w:sz="0" w:space="0"/>
          <w:shd w:val="clear" w:fill="FFFFFF"/>
        </w:rPr>
        <w:t>其中初试全国统一命题科目应与调入专业全国统一命题科目相同（考生初试统考科目涵盖调入专业所有统考科目的，视为相同）</w:t>
      </w:r>
      <w:r>
        <w:rPr>
          <w:rFonts w:hint="default" w:ascii="仿宋_GB2312" w:hAnsi="Times New Roman" w:eastAsia="仿宋_GB2312" w:cs="仿宋_GB2312"/>
          <w:i w:val="0"/>
          <w:iCs w:val="0"/>
          <w:caps w:val="0"/>
          <w:color w:val="333333"/>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both"/>
      </w:pPr>
      <w:r>
        <w:rPr>
          <w:rFonts w:hint="default" w:ascii="仿宋_GB2312" w:hAnsi="仿宋_GB2312" w:eastAsia="仿宋_GB2312" w:cs="仿宋_GB2312"/>
          <w:i w:val="0"/>
          <w:iCs w:val="0"/>
          <w:caps w:val="0"/>
          <w:color w:val="333333"/>
          <w:spacing w:val="0"/>
          <w:sz w:val="19"/>
          <w:szCs w:val="19"/>
          <w:bdr w:val="none" w:color="auto" w:sz="0" w:space="0"/>
          <w:shd w:val="clear" w:fill="FFFFFF"/>
        </w:rPr>
        <w:t>我院拟于</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2023</w:t>
      </w:r>
      <w:r>
        <w:rPr>
          <w:rFonts w:hint="default" w:ascii="仿宋_GB2312" w:hAnsi="仿宋_GB2312" w:eastAsia="仿宋_GB2312" w:cs="仿宋_GB2312"/>
          <w:i w:val="0"/>
          <w:iCs w:val="0"/>
          <w:caps w:val="0"/>
          <w:color w:val="333333"/>
          <w:spacing w:val="0"/>
          <w:sz w:val="19"/>
          <w:szCs w:val="19"/>
          <w:bdr w:val="none" w:color="auto" w:sz="0" w:space="0"/>
          <w:shd w:val="clear" w:fill="FFFFFF"/>
        </w:rPr>
        <w:t>年</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4</w:t>
      </w:r>
      <w:r>
        <w:rPr>
          <w:rFonts w:hint="default" w:ascii="仿宋_GB2312" w:hAnsi="仿宋_GB2312" w:eastAsia="仿宋_GB2312" w:cs="仿宋_GB2312"/>
          <w:i w:val="0"/>
          <w:iCs w:val="0"/>
          <w:caps w:val="0"/>
          <w:color w:val="333333"/>
          <w:spacing w:val="0"/>
          <w:sz w:val="19"/>
          <w:szCs w:val="19"/>
          <w:bdr w:val="none" w:color="auto" w:sz="0" w:space="0"/>
          <w:shd w:val="clear" w:fill="FFFFFF"/>
        </w:rPr>
        <w:t>月</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11</w:t>
      </w:r>
      <w:r>
        <w:rPr>
          <w:rFonts w:hint="default" w:ascii="仿宋_GB2312" w:hAnsi="仿宋_GB2312" w:eastAsia="仿宋_GB2312" w:cs="仿宋_GB2312"/>
          <w:i w:val="0"/>
          <w:iCs w:val="0"/>
          <w:caps w:val="0"/>
          <w:color w:val="333333"/>
          <w:spacing w:val="0"/>
          <w:sz w:val="19"/>
          <w:szCs w:val="19"/>
          <w:bdr w:val="none" w:color="auto" w:sz="0" w:space="0"/>
          <w:shd w:val="clear" w:fill="FFFFFF"/>
        </w:rPr>
        <w:t>日下午</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4</w:t>
      </w:r>
      <w:r>
        <w:rPr>
          <w:rFonts w:hint="default" w:ascii="仿宋_GB2312" w:hAnsi="仿宋_GB2312" w:eastAsia="仿宋_GB2312" w:cs="仿宋_GB2312"/>
          <w:i w:val="0"/>
          <w:iCs w:val="0"/>
          <w:caps w:val="0"/>
          <w:color w:val="333333"/>
          <w:spacing w:val="0"/>
          <w:sz w:val="19"/>
          <w:szCs w:val="19"/>
          <w:bdr w:val="none" w:color="auto" w:sz="0" w:space="0"/>
          <w:shd w:val="clear" w:fill="FFFFFF"/>
        </w:rPr>
        <w:t>点开放调剂系统（不少于</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12</w:t>
      </w:r>
      <w:r>
        <w:rPr>
          <w:rFonts w:hint="default" w:ascii="仿宋_GB2312" w:hAnsi="仿宋_GB2312" w:eastAsia="仿宋_GB2312" w:cs="仿宋_GB2312"/>
          <w:i w:val="0"/>
          <w:iCs w:val="0"/>
          <w:caps w:val="0"/>
          <w:color w:val="333333"/>
          <w:spacing w:val="0"/>
          <w:sz w:val="19"/>
          <w:szCs w:val="19"/>
          <w:bdr w:val="none" w:color="auto" w:sz="0" w:space="0"/>
          <w:shd w:val="clear" w:fill="FFFFFF"/>
        </w:rPr>
        <w:t>小时），择优接收符合《工作办法》调剂要求的考生。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both"/>
      </w:pPr>
      <w:r>
        <w:rPr>
          <w:rFonts w:hint="default" w:ascii="仿宋_GB2312" w:hAnsi="仿宋_GB2312" w:eastAsia="仿宋_GB2312" w:cs="仿宋_GB2312"/>
          <w:i w:val="0"/>
          <w:iCs w:val="0"/>
          <w:caps w:val="0"/>
          <w:color w:val="333333"/>
          <w:spacing w:val="0"/>
          <w:sz w:val="19"/>
          <w:szCs w:val="19"/>
          <w:bdr w:val="none" w:color="auto" w:sz="0" w:space="0"/>
          <w:shd w:val="clear" w:fill="FFFFFF"/>
        </w:rPr>
        <w:t>扬州大学环境科学与工程学院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both"/>
      </w:pPr>
      <w:r>
        <w:rPr>
          <w:rFonts w:hint="default" w:ascii="仿宋_GB2312" w:hAnsi="仿宋_GB2312" w:eastAsia="仿宋_GB2312" w:cs="仿宋_GB2312"/>
          <w:i w:val="0"/>
          <w:iCs w:val="0"/>
          <w:caps w:val="0"/>
          <w:color w:val="333333"/>
          <w:spacing w:val="0"/>
          <w:sz w:val="19"/>
          <w:szCs w:val="19"/>
          <w:bdr w:val="none" w:color="auto" w:sz="0" w:space="0"/>
          <w:shd w:val="clear" w:fill="FFFFFF"/>
        </w:rPr>
        <w:t>                                     </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2023</w:t>
      </w:r>
      <w:r>
        <w:rPr>
          <w:rFonts w:hint="default" w:ascii="仿宋_GB2312" w:hAnsi="仿宋_GB2312" w:eastAsia="仿宋_GB2312" w:cs="仿宋_GB2312"/>
          <w:i w:val="0"/>
          <w:iCs w:val="0"/>
          <w:caps w:val="0"/>
          <w:color w:val="333333"/>
          <w:spacing w:val="0"/>
          <w:sz w:val="19"/>
          <w:szCs w:val="19"/>
          <w:bdr w:val="none" w:color="auto" w:sz="0" w:space="0"/>
          <w:shd w:val="clear" w:fill="FFFFFF"/>
        </w:rPr>
        <w:t>年</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4</w:t>
      </w:r>
      <w:r>
        <w:rPr>
          <w:rFonts w:hint="default" w:ascii="仿宋_GB2312" w:hAnsi="仿宋_GB2312" w:eastAsia="仿宋_GB2312" w:cs="仿宋_GB2312"/>
          <w:i w:val="0"/>
          <w:iCs w:val="0"/>
          <w:caps w:val="0"/>
          <w:color w:val="333333"/>
          <w:spacing w:val="0"/>
          <w:sz w:val="19"/>
          <w:szCs w:val="19"/>
          <w:bdr w:val="none" w:color="auto" w:sz="0" w:space="0"/>
          <w:shd w:val="clear" w:fill="FFFFFF"/>
        </w:rPr>
        <w:t>月</w:t>
      </w:r>
      <w:r>
        <w:rPr>
          <w:rFonts w:hint="default" w:ascii="Times New Roman" w:hAnsi="Times New Roman" w:eastAsia="仿宋_GB2312" w:cs="Times New Roman"/>
          <w:i w:val="0"/>
          <w:iCs w:val="0"/>
          <w:caps w:val="0"/>
          <w:color w:val="333333"/>
          <w:spacing w:val="0"/>
          <w:sz w:val="19"/>
          <w:szCs w:val="19"/>
          <w:bdr w:val="none" w:color="auto" w:sz="0" w:space="0"/>
          <w:shd w:val="clear" w:fill="FFFFFF"/>
        </w:rPr>
        <w:t>11</w:t>
      </w:r>
      <w:r>
        <w:rPr>
          <w:rFonts w:hint="default" w:ascii="仿宋_GB2312" w:hAnsi="仿宋_GB2312" w:eastAsia="仿宋_GB2312" w:cs="仿宋_GB2312"/>
          <w:i w:val="0"/>
          <w:iCs w:val="0"/>
          <w:caps w:val="0"/>
          <w:color w:val="333333"/>
          <w:spacing w:val="0"/>
          <w:sz w:val="19"/>
          <w:szCs w:val="19"/>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81D4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483</Words>
  <Characters>556</Characters>
  <Lines>0</Lines>
  <Paragraphs>0</Paragraphs>
  <TotalTime>0</TotalTime>
  <ScaleCrop>false</ScaleCrop>
  <LinksUpToDate>false</LinksUpToDate>
  <CharactersWithSpaces>595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2023-04-22T10:09:57Z</dcterms:created>
  <dc:creator>Administrator</dc:creator>
  <cp:lastModifiedBy>王英</cp:lastModifiedBy>
  <dcterms:modified xsi:type="dcterms:W3CDTF">2023-04-22T10:10:06Z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88C45CAE65044611A7DA23D852B83129</vt:lpwstr>
  </property>
</Properties>
</file>