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500" w:type="pct"/>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75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jc w:val="center"/>
        </w:trPr>
        <w:tc>
          <w:tcPr>
            <w:tcW w:w="0" w:type="auto"/>
            <w:shd w:val="clear" w:color="auto" w:fill="FFFFFF"/>
            <w:vAlign w:val="center"/>
          </w:tcPr>
          <w:p>
            <w:pPr>
              <w:rPr>
                <w:rFonts w:hint="eastAsia" w:ascii="Arial" w:hAnsi="Arial" w:eastAsia="Arial" w:cs="Arial"/>
                <w:i w:val="0"/>
                <w:caps w:val="0"/>
                <w:color w:val="333333"/>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jc w:val="center"/>
        </w:trPr>
        <w:tc>
          <w:tcPr>
            <w:tcW w:w="0" w:type="auto"/>
            <w:shd w:val="clear" w:color="auto" w:fill="FFFFFF"/>
            <w:vAlign w:val="center"/>
          </w:tcPr>
          <w:p>
            <w:pPr>
              <w:keepNext w:val="0"/>
              <w:keepLines w:val="0"/>
              <w:widowControl/>
              <w:suppressLineNumbers w:val="0"/>
              <w:spacing w:line="220" w:lineRule="atLeast"/>
              <w:jc w:val="center"/>
              <w:rPr>
                <w:rFonts w:hint="default" w:ascii="Arial" w:hAnsi="Arial" w:eastAsia="Arial" w:cs="Arial"/>
                <w:i w:val="0"/>
                <w:caps w:val="0"/>
                <w:color w:val="333333"/>
                <w:spacing w:val="0"/>
                <w:sz w:val="12"/>
                <w:szCs w:val="12"/>
              </w:rPr>
            </w:pPr>
            <w:r>
              <w:rPr>
                <w:rFonts w:hint="default" w:ascii="Arial" w:hAnsi="Arial" w:eastAsia="Arial" w:cs="Arial"/>
                <w:i w:val="0"/>
                <w:caps w:val="0"/>
                <w:color w:val="333333"/>
                <w:spacing w:val="0"/>
                <w:kern w:val="0"/>
                <w:sz w:val="12"/>
                <w:szCs w:val="12"/>
                <w:lang w:val="en-US" w:eastAsia="zh-CN" w:bidi="ar"/>
              </w:rPr>
              <w:t>承德医学院2023年硕士研究生招生考试调剂办法</w:t>
            </w:r>
          </w:p>
          <w:p>
            <w:pPr>
              <w:keepNext w:val="0"/>
              <w:keepLines w:val="0"/>
              <w:widowControl/>
              <w:suppressLineNumbers w:val="0"/>
              <w:spacing w:line="220" w:lineRule="atLeast"/>
              <w:jc w:val="center"/>
              <w:rPr>
                <w:color w:val="DDDDDD"/>
                <w:sz w:val="12"/>
                <w:szCs w:val="12"/>
              </w:rPr>
            </w:pPr>
            <w:r>
              <w:rPr>
                <w:rFonts w:hint="default" w:ascii="Arial" w:hAnsi="Arial" w:eastAsia="Arial" w:cs="Arial"/>
                <w:i w:val="0"/>
                <w:caps w:val="0"/>
                <w:color w:val="333333"/>
                <w:spacing w:val="0"/>
                <w:sz w:val="12"/>
                <w:szCs w:val="12"/>
              </w:rPr>
              <w:pict>
                <v:rect id="_x0000_i1025" o:spt="1" style="height:0.75pt;width:391.8pt;" fillcolor="#DDDDDD" filled="t" stroked="f" coordsize="21600,21600" o:hr="t" o:hrstd="t" o:hrnoshade="t" o:hralign="center">
                  <v:path/>
                  <v:fill on="t" focussize="0,0"/>
                  <v:stroke on="f"/>
                  <v:imagedata o:title=""/>
                  <o:lock v:ext="edit"/>
                  <w10:wrap type="none"/>
                  <w10:anchorlock/>
                </v:rect>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jc w:val="center"/>
        </w:trPr>
        <w:tc>
          <w:tcPr>
            <w:tcW w:w="0" w:type="auto"/>
            <w:shd w:val="clear" w:color="auto" w:fill="FFFFFF"/>
            <w:vAlign w:val="center"/>
          </w:tcPr>
          <w:tbl>
            <w:tblPr>
              <w:tblW w:w="4500" w:type="pct"/>
              <w:jc w:val="center"/>
              <w:tblCellSpacing w:w="15" w:type="dxa"/>
              <w:shd w:val="clear"/>
              <w:tblLayout w:type="autofit"/>
              <w:tblCellMar>
                <w:top w:w="15" w:type="dxa"/>
                <w:left w:w="15" w:type="dxa"/>
                <w:bottom w:w="15" w:type="dxa"/>
                <w:right w:w="15" w:type="dxa"/>
              </w:tblCellMar>
            </w:tblPr>
            <w:tblGrid>
              <w:gridCol w:w="1687"/>
              <w:gridCol w:w="3184"/>
              <w:gridCol w:w="161"/>
              <w:gridCol w:w="1687"/>
            </w:tblGrid>
            <w:tr>
              <w:tblPrEx>
                <w:tblCellMar>
                  <w:top w:w="15" w:type="dxa"/>
                  <w:left w:w="15" w:type="dxa"/>
                  <w:bottom w:w="15" w:type="dxa"/>
                  <w:right w:w="15" w:type="dxa"/>
                </w:tblCellMar>
              </w:tblPrEx>
              <w:trPr>
                <w:tblCellSpacing w:w="15" w:type="dxa"/>
                <w:jc w:val="center"/>
              </w:trPr>
              <w:tc>
                <w:tcPr>
                  <w:tcW w:w="1250" w:type="pct"/>
                  <w:shd w:val="clear"/>
                  <w:vAlign w:val="center"/>
                </w:tcPr>
                <w:p>
                  <w:pPr>
                    <w:keepNext w:val="0"/>
                    <w:keepLines w:val="0"/>
                    <w:widowControl/>
                    <w:suppressLineNumbers w:val="0"/>
                    <w:spacing w:line="220" w:lineRule="atLeast"/>
                    <w:jc w:val="left"/>
                    <w:rPr>
                      <w:color w:val="333333"/>
                      <w:sz w:val="12"/>
                      <w:szCs w:val="12"/>
                    </w:rPr>
                  </w:pPr>
                  <w:r>
                    <w:rPr>
                      <w:rFonts w:ascii="宋体" w:hAnsi="宋体" w:eastAsia="宋体" w:cs="宋体"/>
                      <w:color w:val="333333"/>
                      <w:kern w:val="0"/>
                      <w:sz w:val="12"/>
                      <w:szCs w:val="12"/>
                      <w:lang w:val="en-US" w:eastAsia="zh-CN" w:bidi="ar"/>
                    </w:rPr>
                    <w:t>发布日期：2023-04-04</w:t>
                  </w:r>
                </w:p>
              </w:tc>
              <w:tc>
                <w:tcPr>
                  <w:tcW w:w="0" w:type="auto"/>
                  <w:shd w:val="clear"/>
                  <w:vAlign w:val="center"/>
                </w:tcPr>
                <w:p>
                  <w:pPr>
                    <w:keepNext w:val="0"/>
                    <w:keepLines w:val="0"/>
                    <w:widowControl/>
                    <w:suppressLineNumbers w:val="0"/>
                    <w:spacing w:line="220" w:lineRule="atLeast"/>
                    <w:jc w:val="left"/>
                    <w:rPr>
                      <w:color w:val="333333"/>
                      <w:sz w:val="12"/>
                      <w:szCs w:val="12"/>
                    </w:rPr>
                  </w:pPr>
                  <w:r>
                    <w:rPr>
                      <w:rFonts w:ascii="宋体" w:hAnsi="宋体" w:eastAsia="宋体" w:cs="宋体"/>
                      <w:color w:val="333333"/>
                      <w:kern w:val="0"/>
                      <w:sz w:val="12"/>
                      <w:szCs w:val="12"/>
                      <w:lang w:val="en-US" w:eastAsia="zh-CN" w:bidi="ar"/>
                    </w:rPr>
                    <w:t>访问次数:28427</w:t>
                  </w:r>
                </w:p>
              </w:tc>
              <w:tc>
                <w:tcPr>
                  <w:tcW w:w="0" w:type="auto"/>
                  <w:shd w:val="clear"/>
                  <w:vAlign w:val="center"/>
                </w:tcPr>
                <w:p>
                  <w:pPr>
                    <w:rPr>
                      <w:rFonts w:hint="eastAsia" w:ascii="宋体"/>
                      <w:color w:val="333333"/>
                      <w:sz w:val="12"/>
                      <w:szCs w:val="12"/>
                    </w:rPr>
                  </w:pPr>
                </w:p>
              </w:tc>
              <w:tc>
                <w:tcPr>
                  <w:tcW w:w="1250" w:type="pct"/>
                  <w:shd w:val="clear"/>
                  <w:vAlign w:val="center"/>
                </w:tcPr>
                <w:p>
                  <w:pPr>
                    <w:keepNext w:val="0"/>
                    <w:keepLines w:val="0"/>
                    <w:widowControl/>
                    <w:suppressLineNumbers w:val="0"/>
                    <w:spacing w:line="220" w:lineRule="atLeast"/>
                    <w:jc w:val="left"/>
                    <w:rPr>
                      <w:color w:val="333333"/>
                      <w:sz w:val="12"/>
                      <w:szCs w:val="12"/>
                    </w:rPr>
                  </w:pPr>
                  <w:r>
                    <w:rPr>
                      <w:rFonts w:ascii="宋体" w:hAnsi="宋体" w:eastAsia="宋体" w:cs="宋体"/>
                      <w:color w:val="333333"/>
                      <w:kern w:val="0"/>
                      <w:sz w:val="12"/>
                      <w:szCs w:val="12"/>
                      <w:lang w:val="en-US" w:eastAsia="zh-CN" w:bidi="ar"/>
                    </w:rPr>
                    <w:t>字号：[ </w:t>
                  </w:r>
                  <w:r>
                    <w:rPr>
                      <w:rFonts w:ascii="宋体" w:hAnsi="宋体" w:eastAsia="宋体" w:cs="宋体"/>
                      <w:kern w:val="0"/>
                      <w:sz w:val="12"/>
                      <w:szCs w:val="12"/>
                      <w:lang w:val="en-US" w:eastAsia="zh-CN" w:bidi="ar"/>
                    </w:rPr>
                    <w:fldChar w:fldCharType="begin"/>
                  </w:r>
                  <w:r>
                    <w:rPr>
                      <w:rFonts w:ascii="宋体" w:hAnsi="宋体" w:eastAsia="宋体" w:cs="宋体"/>
                      <w:kern w:val="0"/>
                      <w:sz w:val="12"/>
                      <w:szCs w:val="12"/>
                      <w:lang w:val="en-US" w:eastAsia="zh-CN" w:bidi="ar"/>
                    </w:rPr>
                    <w:instrText xml:space="preserve"> HYPERLINK "https://yjs.cdmc.edu.cn/art/2023/4/4/javascript:doZoom(16)" </w:instrText>
                  </w:r>
                  <w:r>
                    <w:rPr>
                      <w:rFonts w:ascii="宋体" w:hAnsi="宋体" w:eastAsia="宋体" w:cs="宋体"/>
                      <w:kern w:val="0"/>
                      <w:sz w:val="12"/>
                      <w:szCs w:val="12"/>
                      <w:lang w:val="en-US" w:eastAsia="zh-CN" w:bidi="ar"/>
                    </w:rPr>
                    <w:fldChar w:fldCharType="separate"/>
                  </w:r>
                  <w:r>
                    <w:rPr>
                      <w:rStyle w:val="5"/>
                      <w:rFonts w:ascii="宋体" w:hAnsi="宋体" w:eastAsia="宋体" w:cs="宋体"/>
                      <w:sz w:val="12"/>
                      <w:szCs w:val="12"/>
                    </w:rPr>
                    <w:t>大</w:t>
                  </w:r>
                  <w:r>
                    <w:rPr>
                      <w:rFonts w:ascii="宋体" w:hAnsi="宋体" w:eastAsia="宋体" w:cs="宋体"/>
                      <w:kern w:val="0"/>
                      <w:sz w:val="12"/>
                      <w:szCs w:val="12"/>
                      <w:lang w:val="en-US" w:eastAsia="zh-CN" w:bidi="ar"/>
                    </w:rPr>
                    <w:fldChar w:fldCharType="end"/>
                  </w:r>
                  <w:r>
                    <w:rPr>
                      <w:rFonts w:ascii="宋体" w:hAnsi="宋体" w:eastAsia="宋体" w:cs="宋体"/>
                      <w:color w:val="333333"/>
                      <w:kern w:val="0"/>
                      <w:sz w:val="12"/>
                      <w:szCs w:val="12"/>
                      <w:lang w:val="en-US" w:eastAsia="zh-CN" w:bidi="ar"/>
                    </w:rPr>
                    <w:t> </w:t>
                  </w:r>
                  <w:r>
                    <w:rPr>
                      <w:rFonts w:ascii="宋体" w:hAnsi="宋体" w:eastAsia="宋体" w:cs="宋体"/>
                      <w:kern w:val="0"/>
                      <w:sz w:val="12"/>
                      <w:szCs w:val="12"/>
                      <w:lang w:val="en-US" w:eastAsia="zh-CN" w:bidi="ar"/>
                    </w:rPr>
                    <w:fldChar w:fldCharType="begin"/>
                  </w:r>
                  <w:r>
                    <w:rPr>
                      <w:rFonts w:ascii="宋体" w:hAnsi="宋体" w:eastAsia="宋体" w:cs="宋体"/>
                      <w:kern w:val="0"/>
                      <w:sz w:val="12"/>
                      <w:szCs w:val="12"/>
                      <w:lang w:val="en-US" w:eastAsia="zh-CN" w:bidi="ar"/>
                    </w:rPr>
                    <w:instrText xml:space="preserve"> HYPERLINK "https://yjs.cdmc.edu.cn/art/2023/4/4/javascript:doZoom(14)" </w:instrText>
                  </w:r>
                  <w:r>
                    <w:rPr>
                      <w:rFonts w:ascii="宋体" w:hAnsi="宋体" w:eastAsia="宋体" w:cs="宋体"/>
                      <w:kern w:val="0"/>
                      <w:sz w:val="12"/>
                      <w:szCs w:val="12"/>
                      <w:lang w:val="en-US" w:eastAsia="zh-CN" w:bidi="ar"/>
                    </w:rPr>
                    <w:fldChar w:fldCharType="separate"/>
                  </w:r>
                  <w:r>
                    <w:rPr>
                      <w:rStyle w:val="5"/>
                      <w:rFonts w:ascii="宋体" w:hAnsi="宋体" w:eastAsia="宋体" w:cs="宋体"/>
                      <w:sz w:val="12"/>
                      <w:szCs w:val="12"/>
                    </w:rPr>
                    <w:t>中</w:t>
                  </w:r>
                  <w:r>
                    <w:rPr>
                      <w:rFonts w:ascii="宋体" w:hAnsi="宋体" w:eastAsia="宋体" w:cs="宋体"/>
                      <w:kern w:val="0"/>
                      <w:sz w:val="12"/>
                      <w:szCs w:val="12"/>
                      <w:lang w:val="en-US" w:eastAsia="zh-CN" w:bidi="ar"/>
                    </w:rPr>
                    <w:fldChar w:fldCharType="end"/>
                  </w:r>
                  <w:r>
                    <w:rPr>
                      <w:rFonts w:ascii="宋体" w:hAnsi="宋体" w:eastAsia="宋体" w:cs="宋体"/>
                      <w:color w:val="333333"/>
                      <w:kern w:val="0"/>
                      <w:sz w:val="12"/>
                      <w:szCs w:val="12"/>
                      <w:lang w:val="en-US" w:eastAsia="zh-CN" w:bidi="ar"/>
                    </w:rPr>
                    <w:t> </w:t>
                  </w:r>
                  <w:r>
                    <w:rPr>
                      <w:rFonts w:ascii="宋体" w:hAnsi="宋体" w:eastAsia="宋体" w:cs="宋体"/>
                      <w:kern w:val="0"/>
                      <w:sz w:val="12"/>
                      <w:szCs w:val="12"/>
                      <w:lang w:val="en-US" w:eastAsia="zh-CN" w:bidi="ar"/>
                    </w:rPr>
                    <w:fldChar w:fldCharType="begin"/>
                  </w:r>
                  <w:r>
                    <w:rPr>
                      <w:rFonts w:ascii="宋体" w:hAnsi="宋体" w:eastAsia="宋体" w:cs="宋体"/>
                      <w:kern w:val="0"/>
                      <w:sz w:val="12"/>
                      <w:szCs w:val="12"/>
                      <w:lang w:val="en-US" w:eastAsia="zh-CN" w:bidi="ar"/>
                    </w:rPr>
                    <w:instrText xml:space="preserve"> HYPERLINK "https://yjs.cdmc.edu.cn/art/2023/4/4/javascript:doZoom(12)" </w:instrText>
                  </w:r>
                  <w:r>
                    <w:rPr>
                      <w:rFonts w:ascii="宋体" w:hAnsi="宋体" w:eastAsia="宋体" w:cs="宋体"/>
                      <w:kern w:val="0"/>
                      <w:sz w:val="12"/>
                      <w:szCs w:val="12"/>
                      <w:lang w:val="en-US" w:eastAsia="zh-CN" w:bidi="ar"/>
                    </w:rPr>
                    <w:fldChar w:fldCharType="separate"/>
                  </w:r>
                  <w:r>
                    <w:rPr>
                      <w:rStyle w:val="5"/>
                      <w:rFonts w:ascii="宋体" w:hAnsi="宋体" w:eastAsia="宋体" w:cs="宋体"/>
                      <w:sz w:val="12"/>
                      <w:szCs w:val="12"/>
                    </w:rPr>
                    <w:t>小</w:t>
                  </w:r>
                  <w:r>
                    <w:rPr>
                      <w:rFonts w:ascii="宋体" w:hAnsi="宋体" w:eastAsia="宋体" w:cs="宋体"/>
                      <w:kern w:val="0"/>
                      <w:sz w:val="12"/>
                      <w:szCs w:val="12"/>
                      <w:lang w:val="en-US" w:eastAsia="zh-CN" w:bidi="ar"/>
                    </w:rPr>
                    <w:fldChar w:fldCharType="end"/>
                  </w:r>
                  <w:r>
                    <w:rPr>
                      <w:rFonts w:ascii="宋体" w:hAnsi="宋体" w:eastAsia="宋体" w:cs="宋体"/>
                      <w:color w:val="333333"/>
                      <w:kern w:val="0"/>
                      <w:sz w:val="12"/>
                      <w:szCs w:val="12"/>
                      <w:lang w:val="en-US" w:eastAsia="zh-CN" w:bidi="ar"/>
                    </w:rPr>
                    <w:t> ]</w:t>
                  </w:r>
                </w:p>
              </w:tc>
            </w:tr>
          </w:tbl>
          <w:p>
            <w:pPr>
              <w:keepNext w:val="0"/>
              <w:keepLines w:val="0"/>
              <w:widowControl/>
              <w:suppressLineNumbers w:val="0"/>
              <w:spacing w:after="120" w:afterAutospacing="0" w:line="220" w:lineRule="atLeast"/>
              <w:jc w:val="left"/>
              <w:rPr>
                <w:rFonts w:hint="default" w:ascii="Arial" w:hAnsi="Arial" w:eastAsia="Arial" w:cs="Arial"/>
                <w:i w:val="0"/>
                <w:caps w:val="0"/>
                <w:color w:val="333333"/>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CellSpacing w:w="15" w:type="dxa"/>
          <w:jc w:val="center"/>
        </w:trPr>
        <w:tc>
          <w:tcPr>
            <w:tcW w:w="0" w:type="auto"/>
            <w:shd w:val="clear" w:color="auto" w:fill="FFFFFF"/>
            <w:vAlign w:val="center"/>
          </w:tcPr>
          <w:p>
            <w:pPr>
              <w:pStyle w:val="2"/>
              <w:keepNext w:val="0"/>
              <w:keepLines w:val="0"/>
              <w:widowControl/>
              <w:suppressLineNumbers w:val="0"/>
              <w:spacing w:line="368" w:lineRule="atLeast"/>
              <w:ind w:left="0" w:firstLine="420"/>
              <w:jc w:val="both"/>
              <w:rPr>
                <w:sz w:val="12"/>
                <w:szCs w:val="12"/>
              </w:rPr>
            </w:pPr>
            <w:r>
              <w:rPr>
                <w:rFonts w:ascii="Times New Roman" w:hAnsi="Times New Roman" w:eastAsia="Arial" w:cs="Times New Roman"/>
                <w:i w:val="0"/>
                <w:caps w:val="0"/>
                <w:color w:val="333333"/>
                <w:spacing w:val="0"/>
                <w:sz w:val="16"/>
                <w:szCs w:val="16"/>
              </w:rPr>
              <w:t>中国研究生招生信息网（http://yz.chsi.com.cn/）调剂服务系统将于2023年4月6日开通，我校调剂系统将在之后分专业逐渐开放，请关注承德医学院研究生学院官网相关调剂信息。</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一、调剂的基本原则</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1.参加全国硕士研究生入学考试，初试单科成绩、总成绩均达到全国硕士研究生招生考试A类考生进入复试的初试成绩基本要求。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2.申请调剂考生须符合“承德医学院2023年招收攻读硕士学位研究生招生简章”规定的调入专业的报考条件。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3.调入专业与考生第一志愿报考专业相同或相近，且在同一学科门类范围内。考生初试科目须与调入专业初试科目相同或相近。</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4.我校接受调剂的专业以研招网开通时所开放的报名专业为准。</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二、调剂工作要求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1.所有调剂考生必须通过研招网的“全国硕士生招生调剂服务系统”办理相应报名手续，不经调剂系统操作，调剂无效。我校调剂系统开放时间不少于12个小时，考生志愿锁定时间为24小时，志愿锁定期间不接受考生解锁申请。超过锁定时间系统自动解锁，考生可继续保留所填调剂志愿，等待我校遴选结果，也可自行改填其他志愿。</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2.每位调剂考生在调剂的同一批次只能选报我校一个专业，多报视为无效报名。</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3.对申请我校同一专业、初试科目完全相同的调剂考生，按考生初试总成绩择优遴选进入复试的考生名单；初试总成绩相同全部进入复试。</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4.对申请我校同一专业、初试科目不同的调剂考生，根据专业需要依次按照考生专业背景、初试科目、初试成绩等顺序择优遴选进入复试的考生名单。</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5.我校通过中国研究生招生信息网调剂服务系统向遴选的调剂考生发送复试通知，考生须在发出复试通知的4个小时内确认是否参加复试，否则将依次顺延后续考生。由于考生个人原因，未查看、未回复复试通知等其他情况而失去复试资格的，由考生自行负责。</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6.我校通过中国研究生招生信息网调剂服务系统向拟录取的调剂考生发送拟录取通知，考生须在6小时内接收拟录取通知。如有拟录取考生放弃录取资格或未在规定时间内确认拟录取，则依次顺延本学科专业复试合格考生。由于考生个人原因未确认拟录取通知，所产生的后果由考生自行承担。</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三、分专业调剂条件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（一）专业学位</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1.临床医学</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⑴调剂条件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①全日制修业5年及以上临床医学类本科应、往届毕业生。往届毕业生必须取得医学学士学位，应届毕业生本科课程成绩必须达到能够取得医学学士学位授予条件的要求。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②研究生入学考试初试科目：英语（一）；思想政治理论；临床医学综合能力（西医），代码306。</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③临床医学专业学位只接收一志愿报考临床医学专业学位（代码为1051**）考生调剂。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④专升本的考生，专科所学专业须与本科所学专业相同。</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⑤麻醉学、医学检验学等专业的本科毕业生，只能申请调剂至我校与本科所学专业一致的临床医学二级学科。</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⑥儿科学专业的本科毕业生只能申请调剂至儿科学（代码105102）或儿外科学（代码105112）。</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⑦医学影像学专业的本科毕业生只能申请调剂至放射影像学（代码105123）或超声医学（代码105124）或核医学（代码105125）。</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⑧放射医学专业的本科毕业生，只能申请调剂至放射肿瘤学（代码105122）或放射影像学（代码105123）。</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⑵必须符合国家卫健委执业医师资格申报最新报考条件。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⑶必须符合河北省住院医师规范化培训招生报考条件。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⑷以下情况不可调剂至我校临床医学硕士专业学位，如隐瞒情况申请，所产生的后果由考生自行承担：</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①已取得主治医师资格的考生。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②已取得住院医师规范化培训合格证书的考生。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③已经录取为住院医师规范化培训学员、正在进行住院医师规范化培训及中途退出住院医师规范化培训（3年内）的考生。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④农村订单定向免费医学生。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2.中医</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⑴调剂条件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①全日制修业5年及以上中医学类、中西医结合类专业本科应、往届毕业生。往届毕业生必须取得医学学士学位，应届毕业生本科课程成绩必须达到能够取得医学学士学位授予条件的要求。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②研究生入学考试初试科目：英语（一）；思想政治理论；临床医学综合能力（中医），代码307。</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③中医专业学位只接收报考中医学类、中西医结合类专业学位（代码为1057**）考生调剂。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⑵必须符合国家卫健委执业医师资格申报最新报考条件。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⑶必须符合河北省住院医师规范化培训招生报考条件。</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⑷以下情况不可调剂至我校中医硕士专业学位，如隐瞒情况申请，后果由考生本人承担：</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①已取得主治医师资格的考生。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②已取得住院医师规范化培训合格证书的考生。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③已经录取为住院医师规范化培训学员、正在进行住院医师规范化培训及中途退出住院医师规范化培训的考生。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④农村订单定向免费医学生。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3.中药学</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⑴研究生入学考试初试科目：①英语（一）；②思想政治理论；③专业业务课。</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⑵接受一志愿报考中药学（代码1056、1008），药学（代码1007**、1055）、中医（代码1057**）、中医学（代码1005**）考生调剂。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4.应用心理</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研究生入学考试初试科目：①英语（一）或英语（二）；②思想政治理论；③心理学综合（或学校自命题的心理学业务课）。</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（二）学术学位</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1.临床医学</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⑴全日制修业5年及以上临床医学类专业应、往届毕业生。</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⑵研究生入学考试初试科目：①英语（一）；②思想政治理论；③西医综合（代码306或学校自命题）。</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⑶本科专业为儿科学、麻醉学、医学影像学、检验诊断学等只能申请调剂至与本科所学专业一致的临床医学二级学科，不得跨专业申请调剂。</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⑷全日制修业4年及以上医学检验技术、康复治疗学等医学技术类专业毕业生只能申请调剂至本科专业对应的学术学位硕士[临床检验诊断学（代码100208）、康复医学与理疗学（代码100215）等专业]。</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2.基础医学</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研究生入学考试初试科目：①英语（一）；②思想政治理论；③西医综合（代码306或学校自命题），或中医综合（代码307或学校自命题），护理综合（代码308）。</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3.中药学</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见“中药学专业学位”。</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4.生物医学工程</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研究生入学考试初试科目：①英语（一）或英语（二）；②思想政治理论；③数学（一）或数学（二）或数学（三）；④专业业务课。</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5.生物学</w:t>
            </w:r>
          </w:p>
          <w:p>
            <w:pPr>
              <w:pStyle w:val="2"/>
              <w:keepNext w:val="0"/>
              <w:keepLines w:val="0"/>
              <w:widowControl/>
              <w:suppressLineNumbers w:val="0"/>
              <w:spacing w:line="368" w:lineRule="atLeast"/>
              <w:ind w:left="0" w:firstLine="420"/>
              <w:jc w:val="both"/>
              <w:rPr>
                <w:sz w:val="12"/>
                <w:szCs w:val="12"/>
              </w:rPr>
            </w:pPr>
            <w:r>
              <w:rPr>
                <w:rFonts w:hint="default" w:ascii="Times New Roman" w:hAnsi="Times New Roman" w:eastAsia="Arial" w:cs="Times New Roman"/>
                <w:i w:val="0"/>
                <w:caps w:val="0"/>
                <w:color w:val="333333"/>
                <w:spacing w:val="0"/>
                <w:sz w:val="16"/>
                <w:szCs w:val="16"/>
              </w:rPr>
              <w:t>研究生入学考试初试科目：①英语（一）或英语（二）；②思想政治理论；③专业业务课（一）；④专业业务课（二）。</w:t>
            </w: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2B5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2023-05-18T03:21:52Z</dcterms:created>
  <dc:creator>86188</dc:creator>
  <cp:lastModifiedBy>随风而动</cp:lastModifiedBy>
  <dcterms:modified xsi:type="dcterms:W3CDTF">2023-05-18T03:21:53Z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