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20" w:lineRule="atLeast"/>
        <w:ind w:left="0" w:right="0"/>
        <w:jc w:val="center"/>
      </w:pPr>
      <w:bookmarkStart w:id="0" w:name="_GoBack"/>
      <w:r>
        <w:rPr>
          <w:bdr w:val="none" w:color="auto" w:sz="0" w:space="0"/>
        </w:rPr>
        <w:t>新疆大学2023年硕士研究生招生考试“少数民族高层次骨干人才计划”调剂公告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CC0000"/>
        </w:rPr>
      </w:pPr>
      <w:r>
        <w:rPr>
          <w:rFonts w:ascii="宋体" w:hAnsi="宋体" w:eastAsia="宋体" w:cs="宋体"/>
          <w:color w:val="CC0000"/>
          <w:kern w:val="0"/>
          <w:sz w:val="24"/>
          <w:szCs w:val="24"/>
          <w:bdr w:val="none" w:color="auto" w:sz="0" w:space="0"/>
          <w:lang w:val="en-US" w:eastAsia="zh-CN" w:bidi="ar"/>
        </w:rPr>
        <w:t>时间：2023年04月14日    来源：    作者：    阅读：8729次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both"/>
        <w:rPr>
          <w:rFonts w:ascii="Microsoft YaHei UI" w:hAnsi="Microsoft YaHei UI" w:eastAsia="Microsoft YaHei UI" w:cs="Microsoft YaHei UI"/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color w:val="333333"/>
          <w:sz w:val="18"/>
          <w:szCs w:val="18"/>
          <w:bdr w:val="none" w:color="auto" w:sz="0" w:space="0"/>
        </w:rPr>
        <w:t>我校“少数民族高层次骨干人才计划”中工程硕士类考生（民族地区工程人才专项计划）招生计划为6人，目前该计划已拟录取3人，仍有3个调剂名额，欢迎符合条件的考生报考我校。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both"/>
        <w:rPr>
          <w:rFonts w:hint="eastAsia" w:ascii="Microsoft YaHei UI" w:hAnsi="Microsoft YaHei UI" w:eastAsia="Microsoft YaHei UI" w:cs="Microsoft YaHei UI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both"/>
        <w:rPr>
          <w:rFonts w:hint="eastAsia" w:ascii="Microsoft YaHei UI" w:hAnsi="Microsoft YaHei UI" w:eastAsia="Microsoft YaHei UI" w:cs="Microsoft YaHei UI"/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color w:val="333333"/>
          <w:sz w:val="18"/>
          <w:szCs w:val="18"/>
          <w:bdr w:val="none" w:color="auto" w:sz="0" w:space="0"/>
        </w:rPr>
        <w:t>调剂时间：2023年4月15日10:00起（开通时间不少于12小时，各专业具体开通时间以研招网各学院发布的调剂时间为准）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both"/>
        <w:rPr>
          <w:rFonts w:hint="eastAsia" w:ascii="Microsoft YaHei UI" w:hAnsi="Microsoft YaHei UI" w:eastAsia="Microsoft YaHei UI" w:cs="Microsoft YaHei UI"/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color w:val="333333"/>
          <w:sz w:val="18"/>
          <w:szCs w:val="18"/>
          <w:bdr w:val="none" w:color="auto" w:sz="0" w:space="0"/>
        </w:rPr>
        <w:t>调剂要求：详见研招网各学院调剂专业要求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both"/>
        <w:rPr>
          <w:rFonts w:hint="eastAsia" w:ascii="Microsoft YaHei UI" w:hAnsi="Microsoft YaHei UI" w:eastAsia="Microsoft YaHei UI" w:cs="Microsoft YaHei UI"/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color w:val="333333"/>
          <w:sz w:val="18"/>
          <w:szCs w:val="18"/>
          <w:bdr w:val="none" w:color="auto" w:sz="0" w:space="0"/>
        </w:rPr>
        <w:t>调剂方式：研招网调剂系统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both"/>
        <w:rPr>
          <w:rFonts w:hint="eastAsia" w:ascii="Microsoft YaHei UI" w:hAnsi="Microsoft YaHei UI" w:eastAsia="Microsoft YaHei UI" w:cs="Microsoft YaHei UI"/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color w:val="333333"/>
          <w:sz w:val="18"/>
          <w:szCs w:val="18"/>
          <w:bdr w:val="none" w:color="auto" w:sz="0" w:space="0"/>
        </w:rPr>
        <w:t>拟调剂专业：详见下图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60" w:lineRule="atLeast"/>
        <w:ind w:left="0" w:right="0"/>
        <w:jc w:val="center"/>
      </w:pPr>
      <w:r>
        <w:rPr>
          <w:color w:val="555555"/>
          <w:sz w:val="14"/>
          <w:szCs w:val="14"/>
          <w:bdr w:val="none" w:color="auto" w:sz="0" w:space="0"/>
        </w:rPr>
        <w:drawing>
          <wp:inline distT="0" distB="0" distL="114300" distR="114300">
            <wp:extent cx="5734685" cy="4664710"/>
            <wp:effectExtent l="0" t="0" r="5715" b="889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4685" cy="4664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60" w:lineRule="atLeast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D27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2023-04-30T10:51:44Z</dcterms:created>
  <dc:creator>Administrator</dc:creator>
  <cp:lastModifiedBy>王英</cp:lastModifiedBy>
  <dcterms:modified xsi:type="dcterms:W3CDTF">2023-04-30T10:52:15Z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BCE701713CAD48AC9E8E288FD14B9CFF</vt:lpwstr>
  </property>
</Properties>
</file>