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68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00"/>
        <w:gridCol w:w="3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top"/>
          </w:tcPr>
          <w:tbl>
            <w:tblPr>
              <w:tblW w:w="5000" w:type="pct"/>
              <w:tblCellSpacing w:w="0" w:type="dxa"/>
              <w:tblInd w:w="0" w:type="dxa"/>
              <w:tblBorders>
                <w:top w:val="single" w:color="C3C3C3" w:sz="4" w:space="0"/>
                <w:left w:val="single" w:color="C3C3C3" w:sz="4" w:space="0"/>
                <w:bottom w:val="single" w:color="C3C3C3" w:sz="4" w:space="0"/>
                <w:right w:val="single" w:color="C3C3C3" w:sz="4" w:space="0"/>
                <w:insideH w:val="none" w:color="auto" w:sz="0" w:space="0"/>
                <w:insideV w:val="none" w:color="auto" w:sz="0" w:space="0"/>
              </w:tblBorders>
              <w:shd w:val="clear"/>
              <w:tblLayout w:type="autofit"/>
              <w:tblCellMar>
                <w:top w:w="0" w:type="dxa"/>
                <w:left w:w="0" w:type="dxa"/>
                <w:bottom w:w="0" w:type="dxa"/>
                <w:right w:w="0" w:type="dxa"/>
              </w:tblCellMar>
            </w:tblPr>
            <w:tblGrid>
              <w:gridCol w:w="7390"/>
            </w:tblGrid>
            <w:tr>
              <w:tblPrEx>
                <w:tblBorders>
                  <w:top w:val="single" w:color="C3C3C3" w:sz="4" w:space="0"/>
                  <w:left w:val="single" w:color="C3C3C3" w:sz="4" w:space="0"/>
                  <w:bottom w:val="single" w:color="C3C3C3" w:sz="4" w:space="0"/>
                  <w:right w:val="single" w:color="C3C3C3" w:sz="4" w:space="0"/>
                  <w:insideH w:val="none" w:color="auto" w:sz="0" w:space="0"/>
                  <w:insideV w:val="none" w:color="auto" w:sz="0" w:space="0"/>
                </w:tblBorders>
                <w:shd w:val="clear"/>
                <w:tblCellMar>
                  <w:top w:w="0" w:type="dxa"/>
                  <w:left w:w="0" w:type="dxa"/>
                  <w:bottom w:w="0" w:type="dxa"/>
                  <w:right w:w="0" w:type="dxa"/>
                </w:tblCellMar>
              </w:tblPrEx>
              <w:trPr>
                <w:trHeight w:val="3001" w:hRule="atLeast"/>
                <w:tblCellSpacing w:w="0" w:type="dxa"/>
              </w:trPr>
              <w:tc>
                <w:tcPr>
                  <w:tcW w:w="0" w:type="auto"/>
                  <w:shd w:val="clear"/>
                  <w:tcMar>
                    <w:top w:w="50" w:type="dxa"/>
                    <w:left w:w="50" w:type="dxa"/>
                    <w:bottom w:w="50" w:type="dxa"/>
                    <w:right w:w="50" w:type="dxa"/>
                  </w:tcMar>
                  <w:vAlign w:val="top"/>
                </w:tcPr>
                <w:p>
                  <w:pPr>
                    <w:pStyle w:val="8"/>
                  </w:pPr>
                  <w:r>
                    <w:t>窗体顶端</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sz w:val="24"/>
                            <w:szCs w:val="24"/>
                          </w:rPr>
                        </w:pPr>
                        <w:bookmarkStart w:id="0" w:name="_GoBack"/>
                        <w:r>
                          <w:rPr>
                            <w:rFonts w:hint="eastAsia" w:ascii="宋体" w:hAnsi="宋体" w:eastAsia="宋体" w:cs="宋体"/>
                            <w:b/>
                            <w:bCs/>
                            <w:kern w:val="0"/>
                            <w:sz w:val="24"/>
                            <w:szCs w:val="24"/>
                            <w:bdr w:val="none" w:color="auto" w:sz="0" w:space="0"/>
                            <w:lang w:val="en-US" w:eastAsia="zh-CN" w:bidi="ar"/>
                          </w:rPr>
                          <w:t>新疆大学国际文化交流学院2023年硕士研究生招生考试复试成绩及拟录取名单公示</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8"/>
                            <w:szCs w:val="18"/>
                            <w:bdr w:val="none" w:color="auto" w:sz="0" w:space="0"/>
                            <w:lang w:val="en-US" w:eastAsia="zh-CN" w:bidi="ar"/>
                          </w:rPr>
                          <w:t>2023-04-12 09:54</w:t>
                        </w:r>
                        <w:r>
                          <w:rPr>
                            <w:rFonts w:hint="eastAsia" w:ascii="宋体" w:hAnsi="宋体" w:eastAsia="宋体" w:cs="宋体"/>
                            <w:kern w:val="0"/>
                            <w:sz w:val="12"/>
                            <w:szCs w:val="12"/>
                            <w:bdr w:val="none" w:color="auto" w:sz="0" w:space="0"/>
                            <w:lang w:val="en-US" w:eastAsia="zh-CN" w:bidi="ar"/>
                          </w:rPr>
                          <w:t> </w:t>
                        </w:r>
                        <w:r>
                          <w:rPr>
                            <w:rFonts w:hint="eastAsia" w:ascii="宋体" w:hAnsi="宋体" w:eastAsia="宋体" w:cs="宋体"/>
                            <w:kern w:val="0"/>
                            <w:sz w:val="18"/>
                            <w:szCs w:val="18"/>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tbl>
                        <w:tblPr>
                          <w:tblW w:w="727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20"/>
                          <w:gridCol w:w="335"/>
                          <w:gridCol w:w="404"/>
                          <w:gridCol w:w="424"/>
                          <w:gridCol w:w="731"/>
                          <w:gridCol w:w="404"/>
                          <w:gridCol w:w="335"/>
                          <w:gridCol w:w="357"/>
                          <w:gridCol w:w="335"/>
                          <w:gridCol w:w="379"/>
                          <w:gridCol w:w="366"/>
                          <w:gridCol w:w="366"/>
                          <w:gridCol w:w="402"/>
                          <w:gridCol w:w="404"/>
                          <w:gridCol w:w="11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考生编号</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姓名</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民族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专业代码</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专业名称</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学习方式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初试成绩</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初试总分</w:t>
                              </w:r>
                              <w:r>
                                <w:rPr>
                                  <w:rFonts w:hint="eastAsia" w:ascii="宋体" w:hAnsi="宋体" w:eastAsia="宋体" w:cs="宋体"/>
                                  <w:kern w:val="0"/>
                                  <w:sz w:val="12"/>
                                  <w:szCs w:val="12"/>
                                  <w:bdr w:val="none" w:color="auto" w:sz="0" w:space="0"/>
                                  <w:lang w:val="en-US" w:eastAsia="zh-CN" w:bidi="ar"/>
                                </w:rPr>
                                <w:br w:type="textWrapping"/>
                              </w:r>
                              <w:r>
                                <w:rPr>
                                  <w:rFonts w:hint="eastAsia" w:ascii="宋体" w:hAnsi="宋体" w:eastAsia="宋体" w:cs="宋体"/>
                                  <w:kern w:val="0"/>
                                  <w:sz w:val="12"/>
                                  <w:szCs w:val="12"/>
                                  <w:bdr w:val="none" w:color="auto" w:sz="0" w:space="0"/>
                                  <w:lang w:val="en-US" w:eastAsia="zh-CN" w:bidi="ar"/>
                                </w:rPr>
                                <w:t>加分值X</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复试成绩</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加试1成绩</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加试2成绩</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总成绩</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是否拟录取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备注（需说明是否专项计划、享受</w:t>
                              </w:r>
                              <w:r>
                                <w:rPr>
                                  <w:rFonts w:hint="eastAsia" w:ascii="宋体" w:hAnsi="宋体" w:eastAsia="宋体" w:cs="宋体"/>
                                  <w:kern w:val="0"/>
                                  <w:sz w:val="12"/>
                                  <w:szCs w:val="12"/>
                                  <w:bdr w:val="none" w:color="auto" w:sz="0" w:space="0"/>
                                  <w:lang w:val="en-US" w:eastAsia="zh-CN" w:bidi="ar"/>
                                </w:rPr>
                                <w:br w:type="textWrapping"/>
                              </w:r>
                              <w:r>
                                <w:rPr>
                                  <w:rFonts w:hint="eastAsia" w:ascii="宋体" w:hAnsi="宋体" w:eastAsia="宋体" w:cs="宋体"/>
                                  <w:kern w:val="0"/>
                                  <w:sz w:val="12"/>
                                  <w:szCs w:val="12"/>
                                  <w:bdr w:val="none" w:color="auto" w:sz="0" w:space="0"/>
                                  <w:lang w:val="en-US" w:eastAsia="zh-CN" w:bidi="ar"/>
                                </w:rPr>
                                <w:t>加分项或享受少数民族照顾政策等）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107243110117326</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何欢</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380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76.2</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76.08</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101663000000217</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黄荣荣</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383</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75</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75.96</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102243045300020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闫闯</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377</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75</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75.24</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104593410050163</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王子纯</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361</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73.8</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72.84</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110783123416167</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韦祥平</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383</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66</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72.36</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104603999170033</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梁凤仪</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390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63.4</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72.16</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105003117709275</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韦珍</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350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74.2</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71.68</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104753045300153</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齐兵杰</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372</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67.2</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71.52</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101083210009099</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柴嘉繁</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377</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65</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71.24</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104773410041376</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翟英杰</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386</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61.4</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70.88</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104603999170072</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张瑜</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373</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64</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70.36</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100303020122514</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苏林格</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蒙古族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351</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70.2</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70.2</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104253540010527</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陈冰馨</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365</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63.8</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69.32</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101833211219669</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邹美玲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351</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66</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68.52</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101843210902241</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赵薇</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349</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64.8</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67.8</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106183210008109</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王晨雨</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350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64</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67.6</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105743000009223</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王浩羽</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356</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60.8</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67.04</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拟录取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100283112801550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孙思皓</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349</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58.8</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65.4</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复试成绩不及格；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102123045306890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梁克瑶</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402</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54</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69.84</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复试成绩不及格；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102123045306835</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付颖</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392</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65.6</w:t>
                              </w: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73.28</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已被其他学校录取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1" w:hRule="atLeast"/>
                            <w:tblCellSpacing w:w="0" w:type="dxa"/>
                            <w:jc w:val="center"/>
                          </w:trPr>
                          <w:tc>
                            <w:tcPr>
                              <w:tcW w:w="82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107243120117408</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禹云艳</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回族</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045300</w:t>
                              </w:r>
                            </w:p>
                          </w:tc>
                          <w:tc>
                            <w:tcPr>
                              <w:tcW w:w="108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汉语国际教育</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不区分研究方向</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全日制</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374</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0</w:t>
                              </w: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50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p>
                          </w:tc>
                          <w:tc>
                            <w:tcPr>
                              <w:tcW w:w="45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44.88</w:t>
                              </w:r>
                            </w:p>
                          </w:tc>
                          <w:tc>
                            <w:tcPr>
                              <w:tcW w:w="56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不录取</w:t>
                              </w:r>
                            </w:p>
                          </w:tc>
                          <w:tc>
                            <w:tcPr>
                              <w:tcW w:w="1610" w:type="dxa"/>
                              <w:tcBorders>
                                <w:top w:val="single" w:color="333333" w:sz="4" w:space="0"/>
                                <w:left w:val="single" w:color="333333" w:sz="4" w:space="0"/>
                                <w:bottom w:val="single" w:color="333333" w:sz="4" w:space="0"/>
                                <w:right w:val="single" w:color="333333" w:sz="4" w:space="0"/>
                              </w:tcBorders>
                              <w:shd w:val="clear"/>
                              <w:vAlign w:val="center"/>
                            </w:tcPr>
                            <w:p>
                              <w:pPr>
                                <w:keepNext w:val="0"/>
                                <w:keepLines w:val="0"/>
                                <w:widowControl/>
                                <w:suppressLineNumbers w:val="0"/>
                                <w:jc w:val="center"/>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缺考</w:t>
                              </w:r>
                            </w:p>
                          </w:tc>
                        </w:tr>
                      </w:tbl>
                      <w:p>
                        <w:pPr>
                          <w:pStyle w:val="3"/>
                          <w:keepNext w:val="0"/>
                          <w:keepLines w:val="0"/>
                          <w:widowControl/>
                          <w:suppressLineNumbers w:val="0"/>
                          <w:spacing w:line="180" w:lineRule="atLeas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left"/>
                          <w:rPr>
                            <w:rFonts w:hint="eastAsia" w:ascii="宋体" w:hAnsi="宋体" w:eastAsia="宋体" w:cs="宋体"/>
                            <w:color w:val="222222"/>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0" w:type="auto"/>
                        <w:shd w:val="clear"/>
                        <w:vAlign w:val="center"/>
                      </w:tcPr>
                      <w:p>
                        <w:pPr>
                          <w:jc w:val="left"/>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0" w:type="auto"/>
                        <w:shd w:val="clear"/>
                        <w:vAlign w:val="center"/>
                      </w:tcPr>
                      <w:p>
                        <w:pPr>
                          <w:jc w:val="cente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shd w:val="clear"/>
                        <w:vAlign w:val="center"/>
                      </w:tcPr>
                      <w:p>
                        <w:pPr>
                          <w:keepNext w:val="0"/>
                          <w:keepLines w:val="0"/>
                          <w:widowControl/>
                          <w:suppressLineNumbers w:val="0"/>
                          <w:jc w:val="right"/>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w:t>
                        </w:r>
                        <w:r>
                          <w:rPr>
                            <w:rFonts w:hint="eastAsia" w:ascii="宋体" w:hAnsi="宋体" w:eastAsia="宋体" w:cs="宋体"/>
                            <w:color w:val="000000"/>
                            <w:kern w:val="0"/>
                            <w:sz w:val="12"/>
                            <w:szCs w:val="12"/>
                            <w:u w:val="none"/>
                            <w:bdr w:val="none" w:color="auto" w:sz="0" w:space="0"/>
                            <w:lang w:val="en-US" w:eastAsia="zh-CN" w:bidi="ar"/>
                          </w:rPr>
                          <w:fldChar w:fldCharType="begin"/>
                        </w:r>
                        <w:r>
                          <w:rPr>
                            <w:rFonts w:hint="eastAsia" w:ascii="宋体" w:hAnsi="宋体" w:eastAsia="宋体" w:cs="宋体"/>
                            <w:color w:val="000000"/>
                            <w:kern w:val="0"/>
                            <w:sz w:val="12"/>
                            <w:szCs w:val="12"/>
                            <w:u w:val="none"/>
                            <w:bdr w:val="none" w:color="auto" w:sz="0" w:space="0"/>
                            <w:lang w:val="en-US" w:eastAsia="zh-CN" w:bidi="ar"/>
                          </w:rPr>
                          <w:instrText xml:space="preserve"> HYPERLINK "javascript:window.opener=null;window.open('','_self');window.close();" </w:instrText>
                        </w:r>
                        <w:r>
                          <w:rPr>
                            <w:rFonts w:hint="eastAsia" w:ascii="宋体" w:hAnsi="宋体" w:eastAsia="宋体" w:cs="宋体"/>
                            <w:color w:val="000000"/>
                            <w:kern w:val="0"/>
                            <w:sz w:val="12"/>
                            <w:szCs w:val="12"/>
                            <w:u w:val="none"/>
                            <w:bdr w:val="none" w:color="auto" w:sz="0" w:space="0"/>
                            <w:lang w:val="en-US" w:eastAsia="zh-CN" w:bidi="ar"/>
                          </w:rPr>
                          <w:fldChar w:fldCharType="separate"/>
                        </w:r>
                        <w:r>
                          <w:rPr>
                            <w:rStyle w:val="7"/>
                            <w:rFonts w:hint="eastAsia" w:ascii="宋体" w:hAnsi="宋体" w:eastAsia="宋体" w:cs="宋体"/>
                            <w:color w:val="000000"/>
                            <w:sz w:val="12"/>
                            <w:szCs w:val="12"/>
                            <w:u w:val="none"/>
                            <w:bdr w:val="none" w:color="auto" w:sz="0" w:space="0"/>
                          </w:rPr>
                          <w:t>关闭窗口</w:t>
                        </w:r>
                        <w:r>
                          <w:rPr>
                            <w:rFonts w:hint="eastAsia" w:ascii="宋体" w:hAnsi="宋体" w:eastAsia="宋体" w:cs="宋体"/>
                            <w:color w:val="000000"/>
                            <w:kern w:val="0"/>
                            <w:sz w:val="12"/>
                            <w:szCs w:val="12"/>
                            <w:u w:val="none"/>
                            <w:bdr w:val="none" w:color="auto" w:sz="0" w:space="0"/>
                            <w:lang w:val="en-US" w:eastAsia="zh-CN" w:bidi="ar"/>
                          </w:rPr>
                          <w:fldChar w:fldCharType="end"/>
                        </w:r>
                        <w:r>
                          <w:rPr>
                            <w:rFonts w:hint="eastAsia" w:ascii="宋体" w:hAnsi="宋体" w:eastAsia="宋体" w:cs="宋体"/>
                            <w:kern w:val="0"/>
                            <w:sz w:val="12"/>
                            <w:szCs w:val="12"/>
                            <w:bdr w:val="none" w:color="auto" w:sz="0" w:space="0"/>
                            <w:lang w:val="en-US" w:eastAsia="zh-CN" w:bidi="ar"/>
                          </w:rPr>
                          <w:t>】</w:t>
                        </w:r>
                      </w:p>
                    </w:tc>
                  </w:tr>
                </w:tbl>
                <w:p>
                  <w:pPr>
                    <w:pStyle w:val="9"/>
                  </w:pPr>
                  <w:r>
                    <w:t>窗体底端</w:t>
                  </w:r>
                </w:p>
              </w:tc>
            </w:tr>
          </w:tbl>
          <w:p>
            <w:pPr>
              <w:jc w:val="right"/>
              <w:rPr>
                <w:rFonts w:hint="eastAsia" w:ascii="宋体" w:hAnsi="宋体" w:eastAsia="宋体" w:cs="宋体"/>
                <w:i w:val="0"/>
                <w:iCs w:val="0"/>
                <w:caps w:val="0"/>
                <w:color w:val="000000"/>
                <w:spacing w:val="0"/>
                <w:sz w:val="12"/>
                <w:szCs w:val="12"/>
              </w:rPr>
            </w:pPr>
          </w:p>
        </w:tc>
        <w:tc>
          <w:tcPr>
            <w:tcW w:w="2500" w:type="dxa"/>
            <w:shd w:val="clear"/>
            <w:tcMar>
              <w:left w:w="90" w:type="dxa"/>
            </w:tcMar>
            <w:vAlign w:val="top"/>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7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30" w:hRule="atLeast"/>
                <w:tblCellSpacing w:w="0" w:type="dxa"/>
              </w:trPr>
              <w:tc>
                <w:tcPr>
                  <w:tcW w:w="0" w:type="auto"/>
                  <w:shd w:val="clear"/>
                  <w:vAlign w:val="center"/>
                </w:tcPr>
                <w:tbl>
                  <w:tblPr>
                    <w:tblW w:w="435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619"/>
                    <w:gridCol w:w="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FFFFFF"/>
                            <w:sz w:val="12"/>
                            <w:szCs w:val="12"/>
                          </w:rPr>
                        </w:pPr>
                        <w:r>
                          <w:rPr>
                            <w:rStyle w:val="6"/>
                            <w:b/>
                            <w:color w:val="FFFFFF"/>
                            <w:sz w:val="12"/>
                            <w:szCs w:val="12"/>
                            <w:bdr w:val="none" w:color="auto" w:sz="0" w:space="0"/>
                          </w:rPr>
                          <w:t>学院新闻</w:t>
                        </w:r>
                      </w:p>
                    </w:tc>
                    <w:tc>
                      <w:tcPr>
                        <w:tcW w:w="0" w:type="auto"/>
                        <w:shd w:val="clear"/>
                        <w:vAlign w:val="center"/>
                      </w:tcPr>
                      <w:p>
                        <w:pPr>
                          <w:keepNext w:val="0"/>
                          <w:keepLines w:val="0"/>
                          <w:widowControl/>
                          <w:suppressLineNumbers w:val="0"/>
                          <w:jc w:val="right"/>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t> </w:t>
                        </w:r>
                      </w:p>
                    </w:tc>
                  </w:tr>
                </w:tbl>
                <w:p>
                  <w:pPr>
                    <w:jc w:val="right"/>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01" w:hRule="atLeast"/>
                <w:tblCellSpacing w:w="0" w:type="dxa"/>
              </w:trPr>
              <w:tc>
                <w:tcPr>
                  <w:tcW w:w="0" w:type="auto"/>
                  <w:shd w:val="clear"/>
                  <w:tcMar>
                    <w:top w:w="50" w:type="dxa"/>
                    <w:left w:w="50" w:type="dxa"/>
                    <w:bottom w:w="50" w:type="dxa"/>
                    <w:right w:w="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宋体" w:hAnsi="宋体" w:eastAsia="宋体" w:cs="宋体"/>
                      <w:sz w:val="12"/>
                      <w:szCs w:val="12"/>
                    </w:rPr>
                  </w:pP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55"/>
                    <w:gridCol w:w="2670"/>
                    <w:gridCol w:w="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"http://gjjl.xju.edu.cn/info/1003/2178.htm" \o "国际文化交流学院开展新任科级干部任前谈话及全体干部廉政教育活动"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国际文化交流学院开展新任科...</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"http://gjjl.xju.edu.cn/info/1003/2165.htm" \o "国际文化交流学院举行本科生微课大赛设计辅导"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国际文化交流学院举行本科生...</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"http://gjjl.xju.edu.cn/info/1003/2164.htm" \o "聚焦教学比赛   提升教学能力"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聚焦教学比赛 提升教学能力</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"http://gjjl.xju.edu.cn/info/1003/2163.htm" \o "国际文化交流学院举办俄罗斯本土汉语教师线上培训项目结业典礼"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国际文化交流学院举办俄罗斯...</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"http://gjjl.xju.edu.cn/info/1003/2131.htm" \o "喜报：国交学子在\“俄语言语技能大赛\”中取得佳绩"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喜报：国交学子在“俄语言语...</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"http://gjjl.xju.edu.cn/info/1003/2129.htm" \o "国际文化交流学院赴中共第一师阿拉尔市党委党校调研"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国际文化交流学院赴中共第一...</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"http://gjjl.xju.edu.cn/info/1003/2128.htm" \o "苦心不负，有志竟成"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苦心不负，有志竟成</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"http://gjjl.xju.edu.cn/info/1003/2127.htm" \o "综合施力 协同育人"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综合施力 协同育人</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hint="eastAsia" w:ascii="宋体" w:hAnsi="宋体" w:eastAsia="宋体" w:cs="宋体"/>
                      <w:sz w:val="12"/>
                      <w:szCs w:val="12"/>
                    </w:rPr>
                  </w:pP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55"/>
                    <w:gridCol w:w="2670"/>
                    <w:gridCol w:w="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"http://gjjl.xju.edu.cn/info/1003/2178.htm" \o "国际文化交流学院开展新任科级干部任前谈话及全体干部廉政教育活动"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国际文化交流学院开展新任科...</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"http://gjjl.xju.edu.cn/info/1003/2165.htm" \o "国际文化交流学院举行本科生微课大赛设计辅导"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国际文化交流学院举行本科生...</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"http://gjjl.xju.edu.cn/info/1003/2164.htm" \o "聚焦教学比赛   提升教学能力"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聚焦教学比赛 提升教学能力</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"http://gjjl.xju.edu.cn/info/1003/2163.htm" \o "国际文化交流学院举办俄罗斯本土汉语教师线上培训项目结业典礼"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国际文化交流学院举办俄罗斯...</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"http://gjjl.xju.edu.cn/info/1003/2131.htm" \o "喜报：国交学子在\“俄语言语技能大赛\”中取得佳绩"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喜报：国交学子在“俄语言语...</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"http://gjjl.xju.edu.cn/info/1003/2129.htm" \o "国际文化交流学院赴中共第一师阿拉尔市党委党校调研"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国际文化交流学院赴中共第一...</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"http://gjjl.xju.edu.cn/info/1003/2128.htm" \o "苦心不负，有志竟成"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苦心不负，有志竟成</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color w:val="222222"/>
                            <w:kern w:val="0"/>
                            <w:sz w:val="18"/>
                            <w:szCs w:val="18"/>
                            <w:bdr w:val="none" w:color="auto" w:sz="0" w:space="0"/>
                            <w:lang w:val="en-US" w:eastAsia="zh-CN" w:bidi="ar"/>
                          </w:rPr>
                          <w:t>·</w:t>
                        </w:r>
                      </w:p>
                    </w:tc>
                    <w:tc>
                      <w:tcPr>
                        <w:tcW w:w="0" w:type="auto"/>
                        <w:shd w:val="clear"/>
                        <w:vAlign w:val="center"/>
                      </w:tcPr>
                      <w:p>
                        <w:pPr>
                          <w:keepNext w:val="0"/>
                          <w:keepLines w:val="0"/>
                          <w:widowControl/>
                          <w:suppressLineNumbers w:val="0"/>
                          <w:jc w:val="left"/>
                          <w:rPr>
                            <w:rFonts w:hint="eastAsia" w:ascii="宋体" w:hAnsi="宋体" w:eastAsia="宋体" w:cs="宋体"/>
                            <w:sz w:val="18"/>
                            <w:szCs w:val="18"/>
                          </w:rPr>
                        </w:pPr>
                        <w:r>
                          <w:rPr>
                            <w:rFonts w:hint="eastAsia" w:ascii="宋体" w:hAnsi="宋体" w:eastAsia="宋体" w:cs="宋体"/>
                            <w:color w:val="000000"/>
                            <w:kern w:val="0"/>
                            <w:sz w:val="18"/>
                            <w:szCs w:val="18"/>
                            <w:u w:val="none"/>
                            <w:bdr w:val="none" w:color="auto" w:sz="0" w:space="0"/>
                            <w:lang w:val="en-US" w:eastAsia="zh-CN" w:bidi="ar"/>
                          </w:rPr>
                          <w:fldChar w:fldCharType="begin"/>
                        </w:r>
                        <w:r>
                          <w:rPr>
                            <w:rFonts w:hint="eastAsia" w:ascii="宋体" w:hAnsi="宋体" w:eastAsia="宋体" w:cs="宋体"/>
                            <w:color w:val="000000"/>
                            <w:kern w:val="0"/>
                            <w:sz w:val="18"/>
                            <w:szCs w:val="18"/>
                            <w:u w:val="none"/>
                            <w:bdr w:val="none" w:color="auto" w:sz="0" w:space="0"/>
                            <w:lang w:val="en-US" w:eastAsia="zh-CN" w:bidi="ar"/>
                          </w:rPr>
                          <w:instrText xml:space="preserve"> HYPERLINK "http://gjjl.xju.edu.cn/info/1003/2127.htm" \o "综合施力 协同育人" \t "http://gjjl.xju.edu.cn/info/1015/_blank" </w:instrText>
                        </w:r>
                        <w:r>
                          <w:rPr>
                            <w:rFonts w:hint="eastAsia" w:ascii="宋体" w:hAnsi="宋体" w:eastAsia="宋体" w:cs="宋体"/>
                            <w:color w:val="000000"/>
                            <w:kern w:val="0"/>
                            <w:sz w:val="18"/>
                            <w:szCs w:val="18"/>
                            <w:u w:val="none"/>
                            <w:bdr w:val="none" w:color="auto" w:sz="0" w:space="0"/>
                            <w:lang w:val="en-US" w:eastAsia="zh-CN" w:bidi="ar"/>
                          </w:rPr>
                          <w:fldChar w:fldCharType="separate"/>
                        </w:r>
                        <w:r>
                          <w:rPr>
                            <w:rStyle w:val="7"/>
                            <w:rFonts w:hint="eastAsia" w:ascii="宋体" w:hAnsi="宋体" w:eastAsia="宋体" w:cs="宋体"/>
                            <w:color w:val="222222"/>
                            <w:sz w:val="18"/>
                            <w:szCs w:val="18"/>
                            <w:u w:val="none"/>
                            <w:bdr w:val="none" w:color="auto" w:sz="0" w:space="0"/>
                          </w:rPr>
                          <w:t>综合施力 协同育人</w:t>
                        </w:r>
                        <w:r>
                          <w:rPr>
                            <w:rFonts w:hint="eastAsia" w:ascii="宋体" w:hAnsi="宋体" w:eastAsia="宋体" w:cs="宋体"/>
                            <w:color w:val="000000"/>
                            <w:kern w:val="0"/>
                            <w:sz w:val="18"/>
                            <w:szCs w:val="18"/>
                            <w:u w:val="none"/>
                            <w:bdr w:val="none" w:color="auto" w:sz="0" w:space="0"/>
                            <w:lang w:val="en-US" w:eastAsia="zh-CN" w:bidi="ar"/>
                          </w:rPr>
                          <w:fldChar w:fldCharType="end"/>
                        </w:r>
                      </w:p>
                    </w:tc>
                    <w:tc>
                      <w:tcPr>
                        <w:tcW w:w="10" w:type="dxa"/>
                        <w:tcBorders>
                          <w:top w:val="nil"/>
                          <w:left w:val="nil"/>
                          <w:bottom w:val="nil"/>
                          <w:right w:val="nil"/>
                        </w:tcBorders>
                        <w:shd w:val="clear"/>
                        <w:tcMar>
                          <w:top w:w="0" w:type="dxa"/>
                          <w:left w:w="0" w:type="dxa"/>
                          <w:bottom w:w="0" w:type="dxa"/>
                          <w:right w:w="0" w:type="dxa"/>
                        </w:tcMar>
                        <w:vAlign w:val="center"/>
                      </w:tcPr>
                      <w:p>
                        <w:pPr>
                          <w:rPr>
                            <w:rFonts w:hint="eastAsia" w:ascii="宋体" w:hAnsi="宋体" w:eastAsia="宋体" w:cs="宋体"/>
                            <w:sz w:val="12"/>
                            <w:szCs w:val="12"/>
                          </w:rPr>
                        </w:pPr>
                      </w:p>
                    </w:tc>
                  </w:tr>
                </w:tbl>
                <w:p>
                  <w:pPr>
                    <w:rPr>
                      <w:rFonts w:hint="eastAsia" w:ascii="宋体" w:hAnsi="宋体" w:eastAsia="宋体" w:cs="宋体"/>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left"/>
                    <w:rPr>
                      <w:rFonts w:hint="eastAsia" w:ascii="宋体" w:hAnsi="宋体" w:eastAsia="宋体" w:cs="宋体"/>
                      <w:sz w:val="12"/>
                      <w:szCs w:val="12"/>
                    </w:rPr>
                  </w:pPr>
                  <w:r>
                    <w:rPr>
                      <w:rFonts w:hint="eastAsia" w:ascii="宋体" w:hAnsi="宋体" w:eastAsia="宋体" w:cs="宋体"/>
                      <w:kern w:val="0"/>
                      <w:sz w:val="12"/>
                      <w:szCs w:val="12"/>
                      <w:bdr w:val="none" w:color="auto" w:sz="0" w:space="0"/>
                      <w:lang w:val="en-US" w:eastAsia="zh-CN" w:bidi="ar"/>
                    </w:rPr>
                    <w:drawing>
                      <wp:inline distT="0" distB="0" distL="114300" distR="114300">
                        <wp:extent cx="2381250" cy="381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381250" cy="38100"/>
                                </a:xfrm>
                                <a:prstGeom prst="rect">
                                  <a:avLst/>
                                </a:prstGeom>
                                <a:noFill/>
                                <a:ln w="9525">
                                  <a:noFill/>
                                </a:ln>
                              </pic:spPr>
                            </pic:pic>
                          </a:graphicData>
                        </a:graphic>
                      </wp:inline>
                    </w:drawing>
                  </w:r>
                </w:p>
              </w:tc>
            </w:tr>
          </w:tbl>
          <w:p>
            <w:pPr>
              <w:rPr>
                <w:rFonts w:hint="eastAsia" w:ascii="宋体" w:hAnsi="宋体" w:eastAsia="宋体" w:cs="宋体"/>
                <w:i w:val="0"/>
                <w:iCs w:val="0"/>
                <w:caps w:val="0"/>
                <w:color w:val="000000"/>
                <w:spacing w:val="0"/>
                <w:sz w:val="12"/>
                <w:szCs w:val="12"/>
              </w:rPr>
            </w:pP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2F71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2023-05-02T02:15:15Z</dcterms:created>
  <dc:creator>Administrator</dc:creator>
  <cp:lastModifiedBy>王英</cp:lastModifiedBy>
  <dcterms:modified xsi:type="dcterms:W3CDTF">2023-05-02T02:15:25Z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C09A28246A0A45548016C04B1E68D114</vt:lpwstr>
  </property>
</Properties>
</file>