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0" w:afterAutospacing="0" w:line="47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34343"/>
          <w:spacing w:val="0"/>
          <w:sz w:val="34"/>
          <w:szCs w:val="34"/>
          <w:bdr w:val="none" w:color="auto" w:sz="0" w:space="0"/>
          <w:vertAlign w:val="baseline"/>
        </w:rPr>
        <w:t>冶金与能源工程学院2023年硕士研究生调剂各学科、专业（领域）基本要求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FE4E9" w:sz="4" w:space="7"/>
          <w:right w:val="none" w:color="auto" w:sz="0" w:space="0"/>
        </w:pBdr>
        <w:spacing w:before="25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434343"/>
          <w:spacing w:val="0"/>
          <w:sz w:val="13"/>
          <w:szCs w:val="13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34343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 更新日期:2023-04-03 浏览次数：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DF8368"/>
          <w:spacing w:val="0"/>
          <w:kern w:val="0"/>
          <w:sz w:val="13"/>
          <w:szCs w:val="13"/>
          <w:bdr w:val="none" w:color="auto" w:sz="0" w:space="0"/>
          <w:vertAlign w:val="baseline"/>
          <w:lang w:val="en-US" w:eastAsia="zh-CN" w:bidi="ar"/>
        </w:rPr>
        <w:t>1527</w:t>
      </w:r>
    </w:p>
    <w:tbl>
      <w:tblPr>
        <w:tblW w:w="60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101"/>
        <w:gridCol w:w="821"/>
        <w:gridCol w:w="821"/>
        <w:gridCol w:w="1308"/>
        <w:gridCol w:w="460"/>
        <w:gridCol w:w="1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8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冶金与能源工程学院2023年硕士研究生调剂各学科、专业（领域）基本要求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黑体" w:hAnsi="宋体" w:eastAsia="黑体" w:cs="黑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（特别提示：调剂考生须满足教育部调剂基本政策要求，调剂到非全日制的考生须满足在职定向等接收专业报考条件）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学院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学科代码及名称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外语要求（外语仅限英语语种，英语统考科目须与调入专业英语统考科目类别一致或高一个级别）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第三单元考试科目要求（数学统考科目须与调入专业数学统考科目类别一致或高一个级别，其它统考科目要求相同）</w:t>
            </w:r>
          </w:p>
        </w:tc>
        <w:tc>
          <w:tcPr>
            <w:tcW w:w="4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第四单元考试科目要求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总分要求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学科、专业背景要求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080601冶金物理化学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080602钢铁冶金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080603有色金属冶金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0806Z2冶金能源工程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080702热能工程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学科专业相同或相近优先选择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080704流体机械及工程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学科专业相同或相近优先选择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080705制冷及低温工程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学科专业相同或相近优先选择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1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085603冶金工程（专业学位）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085802动力工程（专业学位）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学科专业相同或相近优先选择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085603冶金工程（专业学位）（非全日制）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本科毕业专业为冶金类，材料科学类，化工类，环境类，及本科学习过无机化学、物理化学课程的考生优先选择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冶金与能源工程学院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085802动力工程（专业学位）（非全日制）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同学校统一要求，达到B类国家线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达到B类国家线，与我校初试考试科目相同或相近课程优先选择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达到B类国家线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学科专业相同或相近优先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A6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2023-05-26T07:33:43Z</dcterms:created>
  <dc:creator>Administrator</dc:creator>
  <cp:lastModifiedBy>王英</cp:lastModifiedBy>
  <dcterms:modified xsi:type="dcterms:W3CDTF">2023-05-26T07:33:53Z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7BD63A0C835F413890AFCAF0D1282521</vt:lpwstr>
  </property>
</Properties>
</file>