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ascii="Verdana" w:hAnsi="Verdana" w:eastAsia="Verdana" w:cs="Verdana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关于我校部分专业调剂系统第二批开放时间的通知</w:t>
      </w:r>
    </w:p>
    <w:bookmarkEnd w:id="0"/>
    <w:p>
      <w:pPr>
        <w:keepNext w:val="0"/>
        <w:keepLines w:val="0"/>
        <w:widowControl/>
        <w:suppressLineNumbers w:val="0"/>
        <w:pBdr>
          <w:bottom w:val="dotted" w:color="E7E7E7" w:sz="4" w:space="0"/>
        </w:pBdr>
        <w:shd w:val="clear" w:fill="FFFFFF"/>
        <w:spacing w:line="350" w:lineRule="atLeast"/>
        <w:ind w:left="0" w:firstLine="0"/>
        <w:jc w:val="center"/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Verdana" w:cs="Verdana"/>
          <w:i w:val="0"/>
          <w:iCs w:val="0"/>
          <w:caps w:val="0"/>
          <w:color w:val="999999"/>
          <w:spacing w:val="0"/>
          <w:kern w:val="0"/>
          <w:sz w:val="12"/>
          <w:szCs w:val="12"/>
          <w:shd w:val="clear" w:fill="FFFFFF"/>
          <w:lang w:val="en-US" w:eastAsia="zh-CN" w:bidi="ar"/>
        </w:rPr>
        <w:t>日期： 2023-04-06      信息来源：      点击数:2965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280"/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根据《昌吉学院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年硕士研究生招生复试录取工作方案》要求，在完成第一批调剂复试工作的基础上，现将我校接收部分专业第二批调剂复试考生有关事项通知如下：</w:t>
      </w:r>
    </w:p>
    <w:tbl>
      <w:tblPr>
        <w:tblW w:w="5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9"/>
        <w:gridCol w:w="1407"/>
        <w:gridCol w:w="20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Style w:val="5"/>
                <w:rFonts w:hint="eastAsia" w:ascii="仿宋" w:hAnsi="仿宋" w:eastAsia="仿宋" w:cs="仿宋"/>
                <w:color w:val="666666"/>
                <w:sz w:val="21"/>
                <w:szCs w:val="21"/>
                <w:bdr w:val="none" w:color="auto" w:sz="0" w:space="0"/>
                <w:shd w:val="clear" w:fill="FFFFFF"/>
              </w:rPr>
              <w:t>接受调剂专业</w:t>
            </w:r>
          </w:p>
        </w:tc>
        <w:tc>
          <w:tcPr>
            <w:tcW w:w="1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Style w:val="5"/>
                <w:rFonts w:hint="eastAsia" w:ascii="仿宋" w:hAnsi="仿宋" w:eastAsia="仿宋" w:cs="仿宋"/>
                <w:color w:val="666666"/>
                <w:sz w:val="21"/>
                <w:szCs w:val="21"/>
                <w:bdr w:val="none" w:color="auto" w:sz="0" w:space="0"/>
                <w:shd w:val="clear" w:fill="FFFFFF"/>
              </w:rPr>
              <w:t>系统开放时间</w:t>
            </w:r>
          </w:p>
        </w:tc>
        <w:tc>
          <w:tcPr>
            <w:tcW w:w="1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Style w:val="5"/>
                <w:rFonts w:hint="eastAsia" w:ascii="仿宋" w:hAnsi="仿宋" w:eastAsia="仿宋" w:cs="仿宋"/>
                <w:color w:val="666666"/>
                <w:sz w:val="21"/>
                <w:szCs w:val="21"/>
                <w:bdr w:val="none" w:color="auto" w:sz="0" w:space="0"/>
                <w:shd w:val="clear" w:fill="FFFFFF"/>
              </w:rPr>
              <w:t>系统关闭时间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学科教学（化学）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17:30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7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color w:val="666666"/>
                <w:sz w:val="16"/>
                <w:szCs w:val="16"/>
                <w:bdr w:val="none" w:color="auto" w:sz="0" w:space="0"/>
                <w:shd w:val="clear" w:fill="FFFFFF"/>
              </w:rPr>
              <w:t>材料与化工（化工方向）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17:30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00" w:afterAutospacing="0" w:line="320" w:lineRule="atLeast"/>
              <w:ind w:left="0" w:right="0" w:firstLine="320"/>
            </w:pP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7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仿宋" w:hAnsi="仿宋" w:eastAsia="仿宋" w:cs="仿宋"/>
                <w:color w:val="666666"/>
                <w:sz w:val="20"/>
                <w:szCs w:val="20"/>
                <w:bdr w:val="none" w:color="auto" w:sz="0" w:space="0"/>
                <w:shd w:val="clear" w:fill="FFFFFF"/>
                <w:lang w:val="en-US"/>
              </w:rPr>
              <w:t>11:00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请有调剂意向的考生登录“全国硕士研究生招生调剂服务系统”，在上述规定的时间进行调剂报名。各专业调剂原则、要求详见我校主页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31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日“昌吉学院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年硕士研究生招生考试复试调剂公告”。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</w:pP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  <w:jc w:val="right"/>
      </w:pPr>
      <w:r>
        <w:rPr>
          <w:rFonts w:hint="default" w:ascii="Verdana" w:hAnsi="Verdana" w:eastAsia="Verdana" w:cs="Verdana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昌吉学院研究生处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20" w:lineRule="atLeast"/>
        <w:ind w:left="0" w:right="0" w:firstLine="32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87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2023-04-30T06:53:00Z</dcterms:created>
  <dc:creator>Administrator</dc:creator>
  <cp:lastModifiedBy>王英</cp:lastModifiedBy>
  <dcterms:modified xsi:type="dcterms:W3CDTF">2023-04-30T06:53:06Z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359598D9DD0046918EDA3EF4F038C301</vt:lpwstr>
  </property>
</Properties>
</file>