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40" w:beforeAutospacing="0" w:after="240" w:afterAutospacing="0" w:line="12" w:lineRule="atLeast"/>
        <w:ind w:left="0" w:right="0" w:firstLine="0"/>
        <w:rPr>
          <w:rFonts w:ascii="微软雅黑" w:hAnsi="微软雅黑" w:eastAsia="微软雅黑" w:cs="微软雅黑"/>
          <w:b/>
          <w:i w:val="0"/>
          <w:caps w:val="0"/>
          <w:color w:val="12121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121212"/>
          <w:spacing w:val="0"/>
          <w:sz w:val="24"/>
          <w:szCs w:val="24"/>
          <w:shd w:val="clear" w:fill="FFFFFF"/>
        </w:rPr>
        <w:t>景德镇陶瓷大学信息工程学院2023年硕士研究生调剂公告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  <w:shd w:val="clear" w:fill="FFFFFF"/>
        </w:rPr>
        <w:t>2023年全国硕士研究生招生考试初试成绩及分数线均已公布，我院在统计学（0714）、大数据科学与应用（0714J1）、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121212"/>
          <w:spacing w:val="0"/>
          <w:sz w:val="27"/>
          <w:szCs w:val="27"/>
          <w:shd w:val="clear" w:fill="FFFFFF"/>
        </w:rPr>
        <w:t>计算机软件与理论（081202）、计算机应用技术（081203）</w:t>
      </w:r>
      <w:r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  <w:shd w:val="clear" w:fill="FFFFFF"/>
        </w:rPr>
        <w:t>等专业存在一定缺额，接收调剂考生，欢迎广大考生报名调剂！</w:t>
      </w:r>
    </w:p>
    <w:p>
      <w:pPr>
        <w:pStyle w:val="3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121212"/>
          <w:spacing w:val="0"/>
          <w:sz w:val="27"/>
          <w:szCs w:val="27"/>
          <w:shd w:val="clear" w:fill="FFFFFF"/>
        </w:rPr>
        <w:t>一、信息工程学院简介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  <w:shd w:val="clear" w:fill="FFFFFF"/>
        </w:rPr>
        <w:t>景德镇陶瓷大学信息工程学院开设有“计算机科学与技术”“数字媒体技术”“信息与计算科学”“应用统计学”“信息管理与信息系统”“人工智能”6个本科专业，其中“计算机科学与技术”“信息与计算科学”“信息管理与信息系统”3个专业为江西省一流专业建设点。有“计算机科学与技术”“统计学”2个一级硕士学位授予点和“大数据科学与应用”二级硕士学位授予点，其中计算机科学与技术是江西省重点学科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  <w:shd w:val="clear" w:fill="FFFFFF"/>
        </w:rPr>
        <w:t>学院现有专任教师60人，教授、副教授33人，占教师总数的55%；硕士以上学位的教师占98%，其中具有博士学位的教师18人，占30%；全国优秀教师2人，省主要学科学术带头人1人，省教学名师2人，省中青年学科带头人4人，省中青年骨干教师2人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  <w:shd w:val="clear" w:fill="FFFFFF"/>
        </w:rPr>
        <w:t>学院近年来承担国家自然科学基金、国家科技支撑计划等国家级项目20余项，省部级项目40余项。2016年和2021年各获得江西省自然科学二等奖一项，在学术刊物上公开发表学术论文600多篇，其中被SCI、EI检索的论文200多篇，四篇论文分别被评为2008、2009、2011和2016年2018中国最具国际影响力百篇论文，编写出版教材20余部。在现代制造服务、制造业信息化、图形图像处理、数据挖掘、生物信息学、模式识别、统计推断、统计建模等方面逐渐形成科研特色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  <w:shd w:val="clear" w:fill="FFFFFF"/>
        </w:rPr>
        <w:t>学院拥有1个省级科研平台、2个实验中心、2个云计算实验平台（其中1个平台已对外服务）、1个教师研究室和1个数学建模研究室。两个实验中心共有六大类20个实验机房，实验室面积约1800平方米，设备资产1200多万元，为教学和科学研究工作的顺利开展创造了良好的条件。学院先后与珠海金山软件有限公司、北京乐动卓越科技有限公司、洪都集团公司、江西思创数码有限公司、航空工业部602所等单位建立了专业教学实习基地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  <w:shd w:val="clear" w:fill="FFFFFF"/>
        </w:rPr>
        <w:t>学院坚持“强基础、宽口径、重实践、创特色”的办学思路，积极探索人才培养体系和方式的改革，形成了“高水平应用型复合型”的人才培养模式。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  <w:shd w:val="clear" w:fill="FFFFFF"/>
        </w:rPr>
        <w:t>学院深入开展学风建设活动，通过举办计算机文化节、课外读书活动、大学生体育舞蹈竞赛等特色活动，以科技文化活动为载体，在丰富学生课内外生活的同时，全面提升学生综合素质。在全国大学生数学建模、全国信息技术应用大赛等比赛中，我院学生获得全国奖项10余次、省级奖项260余次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  <w:shd w:val="clear" w:fill="FFFFFF"/>
        </w:rPr>
        <w:t>学院毕业生就业态势良好，毕业生活跃在软件公司、金融机构、科研机构、制造企业、高校等单位，也有一批学生自己创业，在移动互联网、手机游戏、嵌入式产品研发生产等领域取得优异的成绩。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121212"/>
          <w:spacing w:val="0"/>
          <w:sz w:val="27"/>
          <w:szCs w:val="27"/>
          <w:shd w:val="clear" w:fill="FFFFFF"/>
        </w:rPr>
        <w:t>二、调剂要求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  <w:shd w:val="clear" w:fill="FFFFFF"/>
        </w:rPr>
        <w:t>调剂要求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  <w:shd w:val="clear" w:fill="FFFFFF"/>
        </w:rPr>
        <w:t>1、凡达到国家统一规定的硕士生复试A类线，符合总分和单科分数要求；且与调剂专业（领域）相近的学科均接收调剂。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  <w:shd w:val="clear" w:fill="FFFFFF"/>
        </w:rPr>
        <w:t>2、其它未尽事宜，参考《2023年全国硕士研究生招生工作管理规定》执行。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121212"/>
          <w:spacing w:val="0"/>
          <w:sz w:val="27"/>
          <w:szCs w:val="27"/>
          <w:shd w:val="clear" w:fill="FFFFFF"/>
        </w:rPr>
        <w:t>三、奖助学金政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  <w:shd w:val="clear" w:fill="FFFFFF"/>
        </w:rPr>
        <w:t>注：奖助学金实际发放如遇政策调整，以学校有关奖助文件为准，非全日制学生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  <w:shd w:val="clear" w:fill="FFFFFF"/>
        </w:rPr>
        <w:t>均不享受各类研究生奖助政策</w:t>
      </w:r>
    </w:p>
    <w:p>
      <w:pPr>
        <w:pStyle w:val="3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</w:rPr>
      </w:pPr>
      <w:r>
        <w:drawing>
          <wp:inline distT="0" distB="0" distL="114300" distR="114300">
            <wp:extent cx="5269230" cy="3761740"/>
            <wp:effectExtent l="0" t="0" r="1270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76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121212"/>
          <w:spacing w:val="0"/>
          <w:sz w:val="27"/>
          <w:szCs w:val="27"/>
          <w:shd w:val="clear" w:fill="FFFFFF"/>
        </w:rPr>
        <w:t>四、需调剂的专业、代码及联系方式</w:t>
      </w:r>
    </w:p>
    <w:p>
      <w:pPr>
        <w:pStyle w:val="3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</w:rPr>
      </w:pPr>
      <w:r>
        <w:drawing>
          <wp:inline distT="0" distB="0" distL="114300" distR="114300">
            <wp:extent cx="5226050" cy="1816100"/>
            <wp:effectExtent l="0" t="0" r="635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6050" cy="181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121212"/>
          <w:spacing w:val="0"/>
          <w:sz w:val="27"/>
          <w:szCs w:val="27"/>
          <w:shd w:val="clear" w:fill="FFFFFF"/>
        </w:rPr>
        <w:t>五、信息获取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  <w:shd w:val="clear" w:fill="FFFFFF"/>
        </w:rPr>
        <w:t>五、考生在填报调剂志愿前，可在景德镇陶瓷大学信息工程学院官网（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shd w:val="clear" w:fill="FFFFFF"/>
        </w:rPr>
        <w:instrText xml:space="preserve"> HYPERLINK "https://link.zhihu.com/?target=https://xxgc.jcu.edu.cn" \t "https://zhuanlan.zhihu.com/p/_blank"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Style w:val="6"/>
          <w:rFonts w:ascii="a" w:hAnsi="a" w:eastAsia="a" w:cs="a"/>
          <w:i w:val="0"/>
          <w:caps w:val="0"/>
          <w:spacing w:val="0"/>
          <w:sz w:val="0"/>
          <w:szCs w:val="0"/>
          <w:u w:val="none"/>
          <w:shd w:val="clear" w:fill="FFFFFF"/>
        </w:rPr>
        <w:t>https://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shd w:val="clear" w:fill="FFFFFF"/>
        </w:rPr>
        <w:t>xxgc.jcu.edu.cn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  <w:shd w:val="clear" w:fill="FFFFFF"/>
        </w:rPr>
        <w:t>）查询景德镇陶瓷大学信息工程学院调剂信息，同时接受调剂咨询，咨询电话：杨老师13517988827。具体调剂时间和流程可关注“中国研究生招生信息网”（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shd w:val="clear" w:fill="FFFFFF"/>
        </w:rPr>
        <w:instrText xml:space="preserve"> HYPERLINK "https://link.zhihu.com/?target=https://yz.chsi.com.cn" \t "https://zhuanlan.zhihu.com/p/_blank"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Style w:val="6"/>
          <w:rFonts w:hint="default" w:ascii="a" w:hAnsi="a" w:eastAsia="a" w:cs="a"/>
          <w:i w:val="0"/>
          <w:caps w:val="0"/>
          <w:spacing w:val="0"/>
          <w:sz w:val="0"/>
          <w:szCs w:val="0"/>
          <w:u w:val="none"/>
          <w:shd w:val="clear" w:fill="FFFFFF"/>
        </w:rPr>
        <w:t>https://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shd w:val="clear" w:fill="FFFFFF"/>
        </w:rPr>
        <w:t>yz.chsi.com.cn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  <w:shd w:val="clear" w:fill="FFFFFF"/>
        </w:rPr>
        <w:t>）通知。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2121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121212"/>
          <w:spacing w:val="0"/>
          <w:sz w:val="27"/>
          <w:szCs w:val="27"/>
          <w:shd w:val="clear" w:fill="FFFFFF"/>
        </w:rPr>
        <w:t>六、具体调剂办法按国家相关文件精神执行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B4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2023-05-18T02:10:37Z</dcterms:created>
  <dc:creator>86188</dc:creator>
  <cp:lastModifiedBy>随风而动</cp:lastModifiedBy>
  <dcterms:modified xsi:type="dcterms:W3CDTF">2023-05-18T02:11:30Z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