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6"/>
            </w:pPr>
            <w:r>
              <w:t>窗体顶端</w:t>
            </w:r>
          </w:p>
          <w:tbl>
            <w:tblPr>
              <w:tblW w:w="50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30" w:lineRule="atLeast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榆林学院信息工程学院2023年硕士研究生调剂办法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30" w:lineRule="atLeast"/>
                    <w:jc w:val="center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312" w:beforeAutospacing="0" w:after="0" w:afterAutospacing="0" w:line="280" w:lineRule="atLeast"/>
                    <w:ind w:left="0" w:right="0"/>
                    <w:jc w:val="both"/>
                    <w:rPr>
                      <w:rFonts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ascii="楷体_GB2312" w:hAnsi="Calibri" w:eastAsia="楷体_GB2312" w:cs="楷体_GB2312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一、调剂指标：</w:t>
                  </w:r>
                  <w:r>
                    <w:rPr>
                      <w:rFonts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调剂指标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7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个。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楷体_GB2312" w:hAnsi="Calibri" w:eastAsia="楷体_GB2312" w:cs="楷体_GB2312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二、培养类型：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全日制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楷体_GB2312" w:hAnsi="Calibri" w:eastAsia="楷体_GB2312" w:cs="楷体_GB2312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三、拟调剂考生一志愿报考专业</w:t>
                  </w:r>
                  <w:r>
                    <w:rPr>
                      <w:rStyle w:val="4"/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: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 0812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计算机科学与技术、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0835 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软件工程、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085404 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计算机技术、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085405 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软件工程、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085410 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人工智能、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085411 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大数据技术与工程、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085412 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网络与信息安全。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楷体_GB2312" w:hAnsi="Calibri" w:eastAsia="楷体_GB2312" w:cs="楷体_GB2312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四、考生条件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1. 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初试总成绩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280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分及以上，单科成绩达到国家一区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/A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类地区分数线。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2. 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考生初试科目须与调入专业初试科目相同或相近，其中初试全国统一命题科目应与调入专业全国统一命题科目相同。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3. 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符合教育部关于调剂的其他基本要求。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4. 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前置专业为计算机科学与技术、软件工程、网络空间安全、电子信息工程、通信工程、人工智能及大数据技术与工程的考生优先调剂。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楷体_GB2312" w:hAnsi="Calibri" w:eastAsia="楷体_GB2312" w:cs="楷体_GB2312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五、调剂系统开放时间：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年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月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6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日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时，开放时长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小时。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楷体_GB2312" w:hAnsi="Calibri" w:eastAsia="楷体_GB2312" w:cs="楷体_GB2312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六、调剂渠道：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“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全国硕士生招生调剂服务系统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”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楷体_GB2312" w:hAnsi="Calibri" w:eastAsia="楷体_GB2312" w:cs="楷体_GB2312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七、复试方式：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线下复试。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楷体_GB2312" w:hAnsi="Calibri" w:eastAsia="楷体_GB2312" w:cs="楷体_GB2312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八、复试流程：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参照《榆林学院信息工程学院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年硕士研究生招生复试实施细则》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right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信息工程学院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right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2023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年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月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  <w:lang w:val="en-US" w:eastAsia="zh-CN" w:bidi="ar"/>
                    </w:rPr>
                    <w:t>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color w:val="222222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30" w:lineRule="atLeast"/>
                    <w:jc w:val="righ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【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u w:val="none"/>
                      <w:lang w:val="en-US" w:eastAsia="zh-CN" w:bidi="ar"/>
                    </w:rPr>
                    <w:instrText xml:space="preserve"> HYPERLINK "javascript:window.opener=null;window.open('','_self');window.close();" </w:instrText>
                  </w: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u w:val="none"/>
                    </w:rPr>
                    <w:t>关闭窗口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pStyle w:val="7"/>
            </w:pPr>
            <w:r>
              <w:t>窗体底端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E52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2023-05-06T07:47:59Z</dcterms:created>
  <dc:creator>Administrator</dc:creator>
  <cp:lastModifiedBy>王英</cp:lastModifiedBy>
  <dcterms:modified xsi:type="dcterms:W3CDTF">2023-05-06T07:48:08Z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261E2379AF87428B86D48A1F84409B26</vt:lpwstr>
  </property>
</Properties>
</file>