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400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tbl>
            <w:tblPr>
              <w:tblW w:w="12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7"/>
                  </w:pPr>
                  <w: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0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36"/>
                            <w:szCs w:val="36"/>
                          </w:rPr>
                        </w:pPr>
                        <w:bookmarkStart w:id="0" w:name="_GoBack"/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kern w:val="0"/>
                            <w:sz w:val="36"/>
                            <w:szCs w:val="36"/>
                            <w:lang w:val="en-US" w:eastAsia="zh-CN" w:bidi="ar"/>
                          </w:rPr>
                          <w:t>榆林学院建筑工程学院2023年硕士研究生招生调剂公告</w:t>
                        </w:r>
                        <w:bookmarkEnd w:id="0"/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2023-04-04 17:58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Fonts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根据教育部研究生复试一区分数线，结合我院土木水利招生指标及上线人数，现需要调剂，特公告如下：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一、调剂名额</w:t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1770"/>
                          <w:gridCol w:w="2760"/>
                          <w:gridCol w:w="2750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6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Style w:val="5"/>
                                  <w:bdr w:val="none" w:color="auto" w:sz="0" w:space="0"/>
                                </w:rPr>
                                <w:t>专业</w:t>
                              </w:r>
                            </w:p>
                          </w:tc>
                          <w:tc>
                            <w:tcPr>
                              <w:tcW w:w="264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招生领域</w:t>
                              </w:r>
                            </w:p>
                          </w:tc>
                          <w:tc>
                            <w:tcPr>
                              <w:tcW w:w="269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Style w:val="5"/>
                                  <w:bdr w:val="none" w:color="auto" w:sz="0" w:space="0"/>
                                </w:rPr>
                                <w:t>调剂名额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770" w:type="dxa"/>
                              <w:vMerge w:val="restart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土木水利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（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0859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）</w:t>
                              </w:r>
                            </w:p>
                          </w:tc>
                          <w:tc>
                            <w:tcPr>
                              <w:tcW w:w="276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土木工程（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085901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）</w:t>
                              </w:r>
                            </w:p>
                          </w:tc>
                          <w:tc>
                            <w:tcPr>
                              <w:tcW w:w="275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5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1770" w:type="dxa"/>
                              <w:vMerge w:val="continue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rPr>
                                  <w:rFonts w:hint="eastAsia" w:ascii="宋体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01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市政工程（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085905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）</w:t>
                              </w:r>
                            </w:p>
                          </w:tc>
                          <w:tc>
                            <w:tcPr>
                              <w:tcW w:w="2400" w:type="dxa"/>
                              <w:tcBorders>
                                <w:top w:val="single" w:color="333333" w:sz="4" w:space="0"/>
                                <w:left w:val="single" w:color="333333" w:sz="4" w:space="0"/>
                                <w:bottom w:val="single" w:color="333333" w:sz="4" w:space="0"/>
                                <w:right w:val="single" w:color="333333" w:sz="4" w:space="0"/>
                              </w:tcBorders>
                              <w:shd w:val="clear"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14"/>
                                  <w:szCs w:val="14"/>
                                  <w:bdr w:val="none" w:color="auto" w:sz="0" w:space="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二、调剂条件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8"/>
                            <w:szCs w:val="18"/>
                            <w:shd w:val="clear" w:fill="FFFFFF"/>
                          </w:rPr>
                          <w:t>1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）初试成绩达到教育部统一规定的一类地区复试分数线（单科、总分）。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8"/>
                            <w:szCs w:val="18"/>
                            <w:shd w:val="clear" w:fill="FFFFFF"/>
                          </w:rPr>
                          <w:t>2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）满足教育部规定的调剂及录取基本条件。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shd w:val="clear" w:fill="FFFFFF"/>
                          </w:rPr>
                          <w:t>3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）调入考生前三个考试科目须为统考科目，科目一为思想政治教育（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shd w:val="clear" w:fill="FFFFFF"/>
                          </w:rPr>
                          <w:t>101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思想政治教育），科目二为英语（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z w:val="16"/>
                            <w:szCs w:val="16"/>
                            <w:shd w:val="clear" w:fill="FFFFFF"/>
                          </w:rPr>
                          <w:t>201</w:t>
                        </w:r>
                        <w:r>
                          <w:rPr>
                            <w:rStyle w:val="5"/>
                            <w:rFonts w:hint="eastAsia" w:ascii="仿宋" w:hAnsi="仿宋" w:eastAsia="仿宋" w:cs="仿宋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英语一或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204</w:t>
                        </w:r>
                        <w:r>
                          <w:rPr>
                            <w:rStyle w:val="5"/>
                            <w:rFonts w:hint="eastAsia" w:ascii="仿宋" w:hAnsi="仿宋" w:eastAsia="仿宋" w:cs="仿宋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英语二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），科目三为数学（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z w:val="16"/>
                            <w:szCs w:val="16"/>
                            <w:shd w:val="clear" w:fill="FFFFFF"/>
                          </w:rPr>
                          <w:t>301</w:t>
                        </w:r>
                        <w:r>
                          <w:rPr>
                            <w:rStyle w:val="5"/>
                            <w:rFonts w:hint="eastAsia" w:ascii="仿宋" w:hAnsi="仿宋" w:eastAsia="仿宋" w:cs="仿宋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数学一或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302</w:t>
                        </w:r>
                        <w:r>
                          <w:rPr>
                            <w:rStyle w:val="5"/>
                            <w:rFonts w:hint="eastAsia" w:ascii="仿宋" w:hAnsi="仿宋" w:eastAsia="仿宋" w:cs="仿宋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数学二或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303</w:t>
                        </w:r>
                        <w:r>
                          <w:rPr>
                            <w:rStyle w:val="5"/>
                            <w:rFonts w:hint="eastAsia" w:ascii="仿宋" w:hAnsi="仿宋" w:eastAsia="仿宋" w:cs="仿宋"/>
                            <w:color w:val="FF0000"/>
                            <w:sz w:val="18"/>
                            <w:szCs w:val="18"/>
                            <w:shd w:val="clear" w:fill="FFFFFF"/>
                          </w:rPr>
                          <w:t>数学三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shd w:val="clear" w:fill="FFFFFF"/>
                          </w:rPr>
                          <w:t>4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）第一志愿报考学科门类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为工学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报考专业与调入专业相同或相近，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专业代码以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6"/>
                            <w:szCs w:val="16"/>
                            <w:shd w:val="clear" w:fill="FFFFFF"/>
                          </w:rPr>
                          <w:t>08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开头。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三、复试考生遴选顺序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  <w:shd w:val="clear" w:fill="FFFFFF"/>
                          </w:rPr>
                          <w:t>1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）一志愿报考“土木水利”专业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且本科为土木工程、给排水科学与工程、工程管理、建筑环境与能源应用工程、工程造价、环境工程等相关专业的考生优先调剂；土木工程、工程管理、工程造价等调剂到土木工程领域；给排水科学与工程、建筑环境与能源应用工程、环境工程等调剂到市政工程领域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  <w:shd w:val="clear" w:fill="FFFFFF"/>
                          </w:rPr>
                          <w:t>2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）一志愿报考“土木水利”专业，但本科为非上述相关专业的考生次优先考虑。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  <w:shd w:val="clear" w:fill="FFFFFF"/>
                          </w:rPr>
                          <w:t>3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）一志愿报考非“土木水利”专业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但本科为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上述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相关专业的考生</w:t>
                        </w:r>
                        <w:r>
                          <w:rPr>
                            <w:rFonts w:hint="eastAsia" w:ascii="仿宋" w:hAnsi="仿宋" w:eastAsia="仿宋" w:cs="仿宋"/>
                            <w:sz w:val="16"/>
                            <w:szCs w:val="16"/>
                            <w:shd w:val="clear" w:fill="FFFFFF"/>
                          </w:rPr>
                          <w:t>再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次优先考虑。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8"/>
                            <w:szCs w:val="18"/>
                            <w:shd w:val="clear" w:fill="FFFFFF"/>
                          </w:rPr>
                          <w:t>4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）其它条件考生最后考虑。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240" w:lineRule="atLeast"/>
                          <w:ind w:left="0" w:firstLine="320"/>
                          <w:jc w:val="both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）上述遴选顺序中，同等条件下，本科阶段成绩突出、有科研成果的考生优先调剂。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四、培养类型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 全日制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五、申请程序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所有调剂考生必须通过教育部“全国硕士生招生调剂服务系统”进行。未通过该系统调剂进行调剂的考生一律无效。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六、调剂系统开放时间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2023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时，开放时长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12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小时。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spacing w:line="240" w:lineRule="atLeast"/>
                          <w:ind w:left="0" w:firstLine="280"/>
                        </w:pPr>
                        <w:r>
                          <w:rPr>
                            <w:rStyle w:val="5"/>
                            <w:rFonts w:hint="eastAsia" w:ascii="仿宋" w:hAnsi="仿宋" w:eastAsia="仿宋" w:cs="仿宋"/>
                            <w:sz w:val="18"/>
                            <w:szCs w:val="18"/>
                            <w:shd w:val="clear" w:fill="FFFFFF"/>
                          </w:rPr>
                          <w:t>七、复试流程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参照《榆林学院建筑工程学院2023年硕士研究生招生复试实施细则》执行。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  <w:jc w:val="right"/>
                        </w:pP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  <w:jc w:val="right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建筑工程学院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20"/>
                          <w:jc w:val="right"/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2023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日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480" w:lineRule="atLeas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【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instrText xml:space="preserve"> HYPERLINK "javascript:window.opener=null;window.open('','_self');window.close();" </w:instrTex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6"/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关闭窗口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】</w:t>
                        </w:r>
                      </w:p>
                    </w:tc>
                  </w:tr>
                </w:tbl>
                <w:p>
                  <w:pPr>
                    <w:pStyle w:val="8"/>
                  </w:pPr>
                  <w:r>
                    <w:t>窗体底端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59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768</Characters>
  <Lines>0</Lines>
  <Paragraphs>0</Paragraphs>
  <TotalTime>0</TotalTime>
  <ScaleCrop>false</ScaleCrop>
  <LinksUpToDate>false</LinksUpToDate>
  <CharactersWithSpaces>775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2023-05-06T07:51:50Z</dcterms:created>
  <dc:creator>Administrator</dc:creator>
  <cp:lastModifiedBy>王英</cp:lastModifiedBy>
  <dcterms:modified xsi:type="dcterms:W3CDTF">2023-05-06T07:52:15Z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7BE7AFBD068D46689C3E10A9B7CF5BDB</vt:lpwstr>
  </property>
</Properties>
</file>