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欢迎调剂闽南师范大学文学院硕士研究生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作者：;日期：2023-04-03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tcMar>
              <w:top w:w="150" w:type="dxa"/>
              <w:left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一、拟接受调剂专业</w:t>
            </w:r>
          </w:p>
          <w:tbl>
            <w:tblPr>
              <w:tblW w:w="4986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5"/>
              <w:gridCol w:w="2196"/>
              <w:gridCol w:w="1395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219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调剂余额数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050102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语言学及应用语言学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050103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汉语言文字学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050104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中国古典文献学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050105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050106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中国现当代文学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050108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比较文学与世界文学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jc w:val="center"/>
              </w:trPr>
              <w:tc>
                <w:tcPr>
                  <w:tcW w:w="139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045300</w:t>
                  </w:r>
                </w:p>
              </w:tc>
              <w:tc>
                <w:tcPr>
                  <w:tcW w:w="219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汉语国际教育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注：复试比例：“调剂余额数”的差额比例按150%并根据符合调剂条件考生的初试成绩由高到低确认复试名单。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在复试录取过程中，学校和学院将根据各专业生源实际，对分专业拟招生计划进行适当调整。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二、调剂工作安排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42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1、调剂系统开放时间：2023年4月6日00:00—2023年4月6日12:00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42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2、调剂复试时间：2023年4月13日（具体安排以调剂复试通知为准）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三、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调剂条件与程序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42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调剂条件与程序请参照《2023年文学院硕士研究生复试录取工作实施细则》https://zwx.mnnu.edu.cn/info/1045/5996.htm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四、联系方式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联系人：黄老师、陈老师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联系电话：0596-2520571、0596-2591442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4"/>
                <w:szCs w:val="24"/>
                <w:bdr w:val="none" w:color="auto" w:sz="0" w:space="0"/>
              </w:rPr>
              <w:t>调剂考生咨询QQ群：684466564、675782477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caps w:val="0"/>
                <w:color w:val="4B332E"/>
                <w:spacing w:val="0"/>
                <w:sz w:val="24"/>
                <w:szCs w:val="24"/>
                <w:bdr w:val="none" w:color="auto" w:sz="0" w:space="0"/>
              </w:rPr>
              <w:drawing>
                <wp:inline distT="0" distB="0" distL="114300" distR="114300">
                  <wp:extent cx="1362075" cy="2419350"/>
                  <wp:effectExtent l="0" t="0" r="9525" b="635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Calibri" w:hAnsi="Calibri" w:eastAsia="宋体" w:cs="Calibri"/>
                <w:i w:val="0"/>
                <w:caps w:val="0"/>
                <w:color w:val="4B332E"/>
                <w:spacing w:val="0"/>
                <w:sz w:val="24"/>
                <w:szCs w:val="24"/>
                <w:bdr w:val="none" w:color="auto" w:sz="0" w:space="0"/>
              </w:rPr>
              <w:drawing>
                <wp:inline distT="0" distB="0" distL="114300" distR="114300">
                  <wp:extent cx="1304925" cy="2314575"/>
                  <wp:effectExtent l="0" t="0" r="3175" b="952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231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8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2023-05-16T06:01:47Z</dcterms:created>
  <dc:creator>86188</dc:creator>
  <cp:lastModifiedBy>随风而动</cp:lastModifiedBy>
  <dcterms:modified xsi:type="dcterms:W3CDTF">2023-05-16T06:01:49Z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