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115D9B"/>
          <w:sz w:val="16"/>
          <w:szCs w:val="16"/>
        </w:rPr>
      </w:pPr>
      <w:r>
        <w:rPr>
          <w:i w:val="0"/>
          <w:iCs w:val="0"/>
          <w:caps w:val="0"/>
          <w:color w:val="115D9B"/>
          <w:spacing w:val="0"/>
          <w:sz w:val="16"/>
          <w:szCs w:val="16"/>
          <w:bdr w:val="none" w:color="auto" w:sz="0" w:space="0"/>
          <w:shd w:val="clear" w:fill="FFFFFF"/>
        </w:rPr>
        <w:t>武汉大学国际问题研究院2023年硕士生招生调剂公告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111111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D9D9D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发布时间：2023年04月05日 浏览量：5517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根据《武汉大学</w:t>
      </w:r>
      <w:r>
        <w:rPr>
          <w:rFonts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年硕士研究生复试录取工作公告》及《武汉大学国际问题研究院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年硕士研究生复试细则》，我院国际关系专业拟接收调剂考生。现将调剂工作相关事项公告如下：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一、计划接收调剂考生的专业以及剩余指标数如下：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国际关系，剩余指标数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二、调剂原则：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、调剂需符合招生简章中规定的调入专业的报考条件。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、调剂原则上需满足：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     1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）初试成绩达到调出学科专业国家线及我院调剂复试分数线：外语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，政治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，业务科一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，业务科二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，总分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360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；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     2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）第一志愿报考专业需与调入专业相同或相近，应为国际关系或国际政治；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50"/>
      </w:pP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）本科专业应为国际政治、外交学、国际事务与国际关系、国际经济与贸易；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16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 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）统考科目应相同（英语一、政治），专业考试科目应相同或相近。统考科目相同、专业考试科目也相同者优先；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5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5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）只接收初试报考学术学位考生调剂，不接收初试报考专业学位考生调剂。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50"/>
      </w:pP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6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）相同考试科目按初试成绩择优复试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、因调剂考生初试成绩来自不同单位，为公平起见，所有调剂考生的初试成绩均不算入总评成绩。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总评成绩计算公式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复试外语成绩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*0.4+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复试专业成绩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*0.6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、录取原则：按照复试成绩从高到低依次录取。复试成绩不合格（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分为合格）不予录取。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    5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、所有调剂工作通过教育部指定的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全国硕士研究生招生调剂服务系统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进行。学院将综合考察考生第一志愿报考专业、初试科目及成绩、以往科研工作经历及学科水平等情况，从申请调剂的考生中择优遴选考生参加复试，考生须在指定时间内在调剂系统接收并确认复试通知，方可参加调入专业复试。调剂复试考生名单经学院招生工作领导小组集体审定后，在网站上公布。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三、调剂申请办法：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点至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14:00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在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全国硕士研究生招生调剂服务系统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开放志愿填报，考生须在规定时间内完成志愿填报。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调剂考生名单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日公布。复试采用差额方式，线下复试。调剂复试拟安排在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日进行，具体安排另行通知。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四、联系方式：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王老师：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027-68756726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"mailto:332707765@qq.com"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eastAsia="宋体" w:cs="Arial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332707765@qq.com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right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武汉大学国际问题研究院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  <w:jc w:val="right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4B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2023-07-23T01:38:28Z</dcterms:created>
  <dc:creator>23786</dc:creator>
  <cp:lastModifiedBy>陈桉</cp:lastModifiedBy>
  <dcterms:modified xsi:type="dcterms:W3CDTF">2023-07-23T01:38:36Z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34FDF931EA104526AC962F01221352FB_12</vt:lpwstr>
  </property>
</Properties>
</file>