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微软雅黑" w:hAnsi="微软雅黑" w:eastAsia="微软雅黑" w:cs="微软雅黑"/>
          <w:i w:val="0"/>
          <w:iCs w:val="0"/>
          <w:caps w:val="0"/>
          <w:color w:val="000000"/>
          <w:spacing w:val="0"/>
          <w:sz w:val="22"/>
          <w:szCs w:val="22"/>
        </w:rPr>
      </w:pPr>
      <w:bookmarkStart w:id="0" w:name="_GoBack"/>
      <w:r>
        <w:rPr>
          <w:rFonts w:hint="eastAsia" w:ascii="微软雅黑" w:hAnsi="微软雅黑" w:eastAsia="微软雅黑" w:cs="微软雅黑"/>
          <w:i w:val="0"/>
          <w:iCs w:val="0"/>
          <w:caps w:val="0"/>
          <w:color w:val="000000"/>
          <w:spacing w:val="0"/>
          <w:sz w:val="22"/>
          <w:szCs w:val="22"/>
          <w:shd w:val="clear" w:fill="FFFFFF"/>
        </w:rPr>
        <w:t>外语学院2023年非全日制硕士研究生招生调剂公告（4号）</w:t>
      </w:r>
      <w:bookmarkEnd w:id="0"/>
    </w:p>
    <w:p>
      <w:pPr>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666666"/>
          <w:spacing w:val="0"/>
          <w:sz w:val="12"/>
          <w:szCs w:val="12"/>
        </w:rPr>
      </w:pPr>
      <w:r>
        <w:rPr>
          <w:rFonts w:hint="eastAsia" w:ascii="微软雅黑" w:hAnsi="微软雅黑" w:eastAsia="微软雅黑" w:cs="微软雅黑"/>
          <w:i w:val="0"/>
          <w:iCs w:val="0"/>
          <w:caps w:val="0"/>
          <w:color w:val="666666"/>
          <w:spacing w:val="0"/>
          <w:kern w:val="0"/>
          <w:sz w:val="12"/>
          <w:szCs w:val="12"/>
          <w:shd w:val="clear" w:fill="FFFFFF"/>
          <w:lang w:val="en-US" w:eastAsia="zh-CN" w:bidi="ar"/>
        </w:rPr>
        <w:t>2023年04月14日 12:08  点击：[475]</w:t>
      </w:r>
    </w:p>
    <w:p>
      <w:pPr>
        <w:keepNext w:val="0"/>
        <w:keepLines w:val="0"/>
        <w:widowControl/>
        <w:suppressLineNumbers w:val="0"/>
        <w:shd w:val="clear" w:fill="FFFFFF"/>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666666"/>
          <w:spacing w:val="0"/>
          <w:sz w:val="12"/>
          <w:szCs w:val="12"/>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spacing w:before="0" w:beforeAutospacing="1" w:after="0" w:afterAutospacing="1"/>
        <w:ind w:left="0" w:right="0" w:firstLine="420"/>
      </w:pPr>
      <w:r>
        <w:rPr>
          <w:rFonts w:hint="eastAsia" w:ascii="微软雅黑" w:hAnsi="微软雅黑" w:eastAsia="微软雅黑" w:cs="微软雅黑"/>
          <w:i w:val="0"/>
          <w:iCs w:val="0"/>
          <w:caps w:val="0"/>
          <w:color w:val="000000"/>
          <w:spacing w:val="0"/>
          <w:sz w:val="27"/>
          <w:szCs w:val="27"/>
          <w:shd w:val="clear" w:fill="FFFFFF"/>
        </w:rPr>
        <w:t>武汉工程大学外语学院创立于2000年。现有一个国家级实验区，英语系、汉语国际教育系、MTI教学部、小语种教学部、研究生公共外语教学部、大学英语教学部等六个教学机构，外国语言学及应用语言学研究所、中外语言文学比较研究所、跨文化与区域国别研究所、翻译跨学科研究中心等多个方向研究机构，MTI教育研究中心、语言学习中心、语言考试与培训中心、课外实践指导中心等多个中心。</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学院依托国家级人才培养模式创新实验区——“E+”双专业一体化复合型人才培养模式创新实验区（2009年）、湖北省省属高校重点（培育）学科——外国语言文学一级学科（2012年）、翻译硕士专业学位授权点（2014年）、外国语言文学一级学科硕士点（2018年）、湖北省荆楚卓越计划教师团队（2018年）、湖北高校省级教学团队——“E+”双专业一体化教学团队（2019年）和湖北省一流专业“英语语言文学”（2019年）等平台培养英语（包括英日双语特色班）专业、汉语国际教育专业、“E+”双专业本科生以及翻译硕士研究生和外国语言文学一级学科下设的各方向研究生。</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学院2014年获批翻译硕士（MTI）专业硕士学位授权点，2017年获批外国语言文学一级学科授权点。外国语言文学一级学科硕士点招收英美文学、英（日）语语言学、翻译学等研究方向硕士生；翻译硕士（MTI）专业学位授权点招收英语笔译方向研究生。2018年，翻译硕士学位点通过教育部专业硕士学位点合格评估。</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我院翻译硕士专业学位点（英语笔译方向）拟调剂招收8名非全日制硕士研究生。</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一、调剂专业</w:t>
      </w:r>
    </w:p>
    <w:p>
      <w:pPr>
        <w:pStyle w:val="3"/>
        <w:keepNext w:val="0"/>
        <w:keepLines w:val="0"/>
        <w:widowControl/>
        <w:suppressLineNumbers w:val="0"/>
        <w:ind w:left="0" w:firstLine="420"/>
        <w:jc w:val="center"/>
      </w:pPr>
      <w:r>
        <w:rPr>
          <w:rFonts w:hint="eastAsia" w:ascii="微软雅黑" w:hAnsi="微软雅黑" w:eastAsia="微软雅黑" w:cs="微软雅黑"/>
          <w:i w:val="0"/>
          <w:iCs w:val="0"/>
          <w:caps w:val="0"/>
          <w:color w:val="000000"/>
          <w:spacing w:val="0"/>
          <w:sz w:val="27"/>
          <w:szCs w:val="27"/>
          <w:shd w:val="clear" w:fill="FFFFFF"/>
        </w:rPr>
        <w:drawing>
          <wp:inline distT="0" distB="0" distL="114300" distR="114300">
            <wp:extent cx="6057900" cy="657225"/>
            <wp:effectExtent l="0" t="0" r="0" b="3175"/>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6057900" cy="657225"/>
                    </a:xfrm>
                    <a:prstGeom prst="rect">
                      <a:avLst/>
                    </a:prstGeom>
                    <a:noFill/>
                    <a:ln w="9525">
                      <a:noFill/>
                    </a:ln>
                  </pic:spPr>
                </pic:pic>
              </a:graphicData>
            </a:graphic>
          </wp:inline>
        </w:drawing>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二、调剂基本条件</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1.须符合招生简章中规定的调入专业的报考条件。</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2.初试成绩符合第一志愿报考专业在调入地区的全国初试成绩基本要求。</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3.调入专业与第一志愿报考专业相同或相近，应在同一学科门类范围内。</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4.初试科目与调入专业初试科目相同或相近，其中初试全国统一命题科目应与调入专业全国统一命题科目相同。</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三、调剂程序</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1.请考生于2023年4月15日20:00-4月17日8:00通过教育部指定的“全国硕士生招生调剂服务系统”，按要求填报我校调剂志愿。</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2.学校将根据国家关于调剂工作的相关规定以及考生初试成绩、学科背景、科研潜质、综合素质等情况确定进入复试的考生名单。学校研究生招生办公室对复试合格、拟录取的调剂考生网上设置“待录取”，调剂考生须在限定时间内做出明确回复。考生一经接受“待录取”，即不得更改。</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3.非全日制调剂考生的复试通过线下方式进行，时间为2023年4月19日8:30-12:30，具体安排参阅“外语学院2023年硕士研究生复试工作细则”（https://fl.wit.edu.cn/info/1143/8086.htm）。</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四、导师介绍</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详见武汉工程大学外语学院网站：https://fl.wit.edu.cn/info/1167/7459.htm</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五、其他事项</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1.请考生密切关注学校研究生院网站信息（https://yjs.wit.edu.cn/），欢迎考生在本校正式启动调剂复试工作时，按工作要求第一时间参与。</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2.考生申请调剂前，应充分了解学校和学院接收考生调剂的时间、基本要求、工作程序、调剂复试办法等信息，以及相关专业不同学习方式（全日制和非全日制）、培养、奖励、就业等相关政策，做出理性选择。根据教育部《2023年全国硕士研究生招生工作管理规定》要求，考生如申请调入非全日制专业，资格审查时须向培养单位提交定向单位委托培养函、在职证明或劳动合同等其中之一证明材料，满足在职定向就业生的相关要求方可调剂。</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温馨提示：招生信息均以武汉工程大学研究生院官方网页上公布的最新信息为准。</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六、联系方式</w:t>
      </w:r>
    </w:p>
    <w:p>
      <w:pPr>
        <w:pStyle w:val="3"/>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27"/>
          <w:szCs w:val="27"/>
          <w:shd w:val="clear" w:fill="FFFFFF"/>
        </w:rPr>
        <w:t>1. 咨询电话：027-87992165</w:t>
      </w:r>
    </w:p>
    <w:p>
      <w:pPr>
        <w:pStyle w:val="3"/>
        <w:keepNext w:val="0"/>
        <w:keepLines w:val="0"/>
        <w:widowControl/>
        <w:suppressLineNumbers w:val="0"/>
        <w:spacing w:before="0" w:beforeAutospacing="1" w:after="0" w:afterAutospacing="1"/>
        <w:ind w:left="0" w:right="0" w:firstLine="420"/>
        <w:jc w:val="left"/>
      </w:pPr>
      <w:r>
        <w:rPr>
          <w:rFonts w:hint="eastAsia" w:ascii="微软雅黑" w:hAnsi="微软雅黑" w:eastAsia="微软雅黑" w:cs="微软雅黑"/>
          <w:i w:val="0"/>
          <w:iCs w:val="0"/>
          <w:caps w:val="0"/>
          <w:color w:val="000000"/>
          <w:spacing w:val="0"/>
          <w:sz w:val="27"/>
          <w:szCs w:val="27"/>
          <w:shd w:val="clear" w:fill="FFFFFF"/>
        </w:rPr>
        <w:t>2.邮箱：wyxy1213@163.com</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C874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1356</Words>
  <Characters>1586</Characters>
  <Lines>0</Lines>
  <Paragraphs>0</Paragraphs>
  <TotalTime>0</TotalTime>
  <ScaleCrop>false</ScaleCrop>
  <LinksUpToDate>false</LinksUpToDate>
  <CharactersWithSpaces>1590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2023-05-23T01:23:04Z</dcterms:created>
  <dc:creator>Administrator</dc:creator>
  <cp:lastModifiedBy>王英</cp:lastModifiedBy>
  <dcterms:modified xsi:type="dcterms:W3CDTF">2023-05-23T01:23:20Z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F365ED1322D14D03BA264C8B65459B9C</vt:lpwstr>
  </property>
</Properties>
</file>