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09AEE"/>
        <w:spacing w:before="0" w:beforeAutospacing="0" w:after="100" w:afterAutospacing="0"/>
        <w:ind w:left="0" w:right="0" w:hanging="36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shd w:val="clear" w:fill="009AE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shd w:val="clear" w:fill="009AEE"/>
        </w:rPr>
        <w:instrText xml:space="preserve"> HYPERLINK "https://jx.whpu.edu.cn/info/1047/4163.htm"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shd w:val="clear" w:fill="009AE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shd w:val="clear" w:fill="009AEE"/>
        </w:rPr>
        <w:t>新闻公告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shd w:val="clear" w:fill="009AE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10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instrText xml:space="preserve"> HYPERLINK "https://jx.whpu.edu.cn/xwgg/xyxw.htm"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t>学院新闻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10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instrText xml:space="preserve"> HYPERLINK "https://jx.whpu.edu.cn/xwgg/tzgg.htm"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t>通知公告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EEEEEE"/>
        </w:rPr>
        <w:fldChar w:fldCharType="end"/>
      </w:r>
    </w:p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00" w:right="0"/>
        <w:jc w:val="center"/>
        <w:rPr>
          <w:rFonts w:hint="eastAsia" w:ascii="微软雅黑" w:hAnsi="微软雅黑" w:eastAsia="微软雅黑" w:cs="微软雅黑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机械工程学院2023年硕士研究生第四批复试拟录取名单公示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0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发布时间:2023-04-23 15:43 作者： 来源： 访问次数：484</w:t>
      </w:r>
    </w:p>
    <w:tbl>
      <w:tblPr>
        <w:tblW w:w="10701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6"/>
        <w:gridCol w:w="816"/>
        <w:gridCol w:w="836"/>
        <w:gridCol w:w="2016"/>
        <w:gridCol w:w="612"/>
        <w:gridCol w:w="816"/>
        <w:gridCol w:w="585"/>
        <w:gridCol w:w="566"/>
        <w:gridCol w:w="716"/>
        <w:gridCol w:w="616"/>
        <w:gridCol w:w="737"/>
        <w:gridCol w:w="61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8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报考专业代码</w:t>
            </w:r>
          </w:p>
        </w:tc>
        <w:tc>
          <w:tcPr>
            <w:tcW w:w="20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报考专业名称</w:t>
            </w:r>
          </w:p>
        </w:tc>
        <w:tc>
          <w:tcPr>
            <w:tcW w:w="6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初试总分</w:t>
            </w:r>
          </w:p>
        </w:tc>
        <w:tc>
          <w:tcPr>
            <w:tcW w:w="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复试总分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其中：专业课测试</w:t>
            </w:r>
          </w:p>
        </w:tc>
        <w:tc>
          <w:tcPr>
            <w:tcW w:w="5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其中：口语听力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其中：综合面试</w:t>
            </w:r>
          </w:p>
        </w:tc>
        <w:tc>
          <w:tcPr>
            <w:tcW w:w="6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其中：政治理论</w:t>
            </w:r>
          </w:p>
        </w:tc>
        <w:tc>
          <w:tcPr>
            <w:tcW w:w="7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综合成绩</w:t>
            </w:r>
          </w:p>
        </w:tc>
        <w:tc>
          <w:tcPr>
            <w:tcW w:w="6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是否列入拟录取名单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104863208012421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黄鑫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230.25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76.25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104913320212210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许森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66.01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104643410290381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251.25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68.06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104963000004407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靳鹏程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212.5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65.05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103073211008267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沈慧敏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211.5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104643410290202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吴占洋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61.53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105123210463779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林冲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168.75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72.75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61.02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104963000004500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邵明珠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否</w:t>
            </w:r>
          </w:p>
        </w:tc>
      </w:tr>
    </w:tbl>
    <w:p>
      <w:pPr>
        <w:pStyle w:val="9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D47E3"/>
    <w:multiLevelType w:val="multilevel"/>
    <w:tmpl w:val="AA0D47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F7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2023-05-21T01:25:27Z</dcterms:created>
  <dc:creator>Administrator</dc:creator>
  <cp:lastModifiedBy>王英</cp:lastModifiedBy>
  <dcterms:modified xsi:type="dcterms:W3CDTF">2023-05-21T01:25:33Z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C353F56BE87049208A4598C3AC64233A</vt:lpwstr>
  </property>
</Properties>
</file>