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1578FF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1578FF"/>
          <w:spacing w:val="0"/>
          <w:sz w:val="24"/>
          <w:szCs w:val="24"/>
          <w:bdr w:val="none" w:color="auto" w:sz="0" w:space="0"/>
        </w:rPr>
        <w:t>江南大学人工智能与计算机学院2023年硕士研究生调剂考生复试日程安排（二）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4" w:space="7"/>
          <w:right w:val="none" w:color="auto" w:sz="0" w:space="0"/>
        </w:pBdr>
        <w:spacing w:line="21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777777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77777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日期 : 2023-04-18    点击数：1480       黄老师</w:t>
      </w:r>
    </w:p>
    <w:tbl>
      <w:tblPr>
        <w:tblW w:w="59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57"/>
        <w:gridCol w:w="1977"/>
        <w:gridCol w:w="21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444444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时间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444444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内容</w:t>
            </w: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color w:val="444444"/>
                <w:sz w:val="21"/>
                <w:szCs w:val="21"/>
              </w:rPr>
            </w:pPr>
            <w:r>
              <w:rPr>
                <w:rStyle w:val="6"/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4月18日18：00—19日9：00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开通调剂系统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4月21日7：00-9：00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考生交纳复试费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江南大学缴费平台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考生复试报到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另行通知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考生现场提交复试资格材料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4月21日9：30-12：30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调剂考生机测和笔试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另行通知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4月21日13：30—16：00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0" w:beforeAutospacing="0" w:after="70" w:afterAutospacing="0" w:line="21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调剂考生分组面试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向考生公布复试成绩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江南大学研究生招生管理信息系统中查看本人复试成绩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待通知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公布建议录取名单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学院网站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待通知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拟录取考生确认邮寄地址、档案所在地信息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江南大学研究生招生管理信息系统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both"/>
              <w:rPr>
                <w:color w:val="44444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444444"/>
                <w:sz w:val="16"/>
                <w:szCs w:val="16"/>
                <w:bdr w:val="none" w:color="auto" w:sz="0" w:space="0"/>
              </w:rPr>
              <w:t>向拟录取考生发放调档函</w:t>
            </w:r>
          </w:p>
        </w:tc>
        <w:tc>
          <w:tcPr>
            <w:tcW w:w="2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444444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“江南大学研究生招生管理信息系统”网址：http://yzgmis.jiangnan.edu.cn/ksxt/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444444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“江南大学缴费平台”网址：</w:t>
      </w: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single"/>
          <w:bdr w:val="none" w:color="auto" w:sz="0" w:space="0"/>
        </w:rPr>
        <w:instrText xml:space="preserve"> HYPERLINK "http://pay.jiangnan.edu.cn/payment/" </w:instrText>
      </w: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single"/>
          <w:bdr w:val="none" w:color="auto" w:sz="0" w:space="0"/>
        </w:rPr>
        <w:t>http://pay.jiangnan.edu.cn/payment/</w:t>
      </w:r>
      <w:r>
        <w:rPr>
          <w:rFonts w:hint="eastAsia" w:ascii="微软雅黑" w:hAnsi="微软雅黑" w:eastAsia="微软雅黑" w:cs="微软雅黑"/>
          <w:i w:val="0"/>
          <w:caps w:val="0"/>
          <w:color w:val="454545"/>
          <w:spacing w:val="0"/>
          <w:sz w:val="20"/>
          <w:szCs w:val="20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444444"/>
          <w:sz w:val="15"/>
          <w:szCs w:val="15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缴费说明：</w:t>
      </w: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0"/>
          <w:szCs w:val="20"/>
          <w:bdr w:val="none" w:color="auto" w:sz="0" w:space="0"/>
        </w:rPr>
        <w:t>进入复试考生在学院规定的时间内登录“江南大学缴费平台”交纳复试费用，复试收费标准：80元/生。考生搜索微信公众号“江南大学财务处”，在“业务办理”中选择“学生缴费”，或登录“江南大学网上缴费平台”（网址：http://pay.jiangnan.edu.cn/payment/）；登录账号为身份证号，登录密码为准考证号后六位（友情提醒：考生账号已开通，切勿自行注册）。按照提示交费，并打印或截图保存付费凭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99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2023-05-25T01:35:06Z</dcterms:created>
  <dc:creator>86188</dc:creator>
  <cp:lastModifiedBy>随风而动</cp:lastModifiedBy>
  <dcterms:modified xsi:type="dcterms:W3CDTF">2023-05-25T01:35:07Z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